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  <w:lang w:val="en-US" w:eastAsia="en-US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/>
          <w:color w:val="00000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bidi="ar-SA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bidi="ar-SA"/>
        </w:rPr>
        <w:t>202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 w:bidi="ar-SA"/>
        </w:rPr>
        <w:t>3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bidi="ar-SA"/>
        </w:rPr>
        <w:t>年省级促进经济高质量发展专项资金</w:t>
      </w: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  <w:lang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bidi="ar-SA"/>
        </w:rPr>
        <w:t>（产业创新能力建设）任务清单</w:t>
      </w:r>
    </w:p>
    <w:bookmarkEnd w:id="0"/>
    <w:tbl>
      <w:tblPr>
        <w:tblStyle w:val="5"/>
        <w:tblW w:w="1401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9"/>
        <w:gridCol w:w="742"/>
        <w:gridCol w:w="641"/>
        <w:gridCol w:w="1016"/>
        <w:gridCol w:w="4092"/>
        <w:gridCol w:w="742"/>
        <w:gridCol w:w="698"/>
        <w:gridCol w:w="3785"/>
        <w:gridCol w:w="188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lang w:bidi="ar-SA"/>
              </w:rPr>
              <w:t>序号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lang w:bidi="ar-SA"/>
              </w:rPr>
              <w:t>所属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lang w:bidi="ar-SA"/>
              </w:rPr>
              <w:t>资金投入方向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lang w:bidi="ar-SA"/>
              </w:rPr>
              <w:t>工作任务名称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lang w:bidi="ar-SA"/>
              </w:rPr>
              <w:t>任务要求/目标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lang w:bidi="ar-SA"/>
              </w:rPr>
              <w:t>任务性质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lang w:bidi="ar-SA"/>
              </w:rPr>
              <w:t>实施方式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lang w:bidi="ar-SA"/>
              </w:rPr>
              <w:t>实施标准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9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sz w:val="24"/>
                <w:szCs w:val="24"/>
                <w:lang w:bidi="ar-SA"/>
              </w:rPr>
              <w:t>工作量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广州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outlineLvl w:val="9"/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1.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支持4家左右省级企业技术中心开展创新能力建设，带动企业投入创新资金不低于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2125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万元，带动形成创新成果不少于12件。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.支持1家省级制造业创新中心开展创新能力建设，引导制造业创新中心项目建设投入不低于3000万元，攻克解决制约行业发展的共性关键技术，搭建产业公共服务平台，形成创新成果不少于2件。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.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2.省级制造业创新中心补助资金采取事后奖补方式，以不高于项目仪器设备（含配套软件系统）投入的30%，总额不超过1000万元资金的标准下达。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4家左右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1家省级制造业创新中心开展创新能力建设。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9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珠海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1000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2家左右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5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佛山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9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3家左右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5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韶关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250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9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河源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250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9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梅州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9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惠州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5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东莞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1625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9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3家左右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15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中山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6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江门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5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肇庆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7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清远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250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7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潮州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3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揭阳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250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省级企业技术中心开展创新能力建设。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0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广东聚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华印刷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显示技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术有限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eastAsia="zh-CN"/>
              </w:rPr>
              <w:t>公司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到2023年，突破印刷及柔性显示工程化技术，实现高分辨率大尺寸印刷OLED样机、柔性可卷绕大尺寸印刷OLED样机制备能力，支撑广东建设大尺寸印刷OLED显示量产线；提升创新中心行业服务支撑能力，服务企业及高校科研院所不少于8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直接补助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奖补比例不超过项目当年投资的50%，奖补资金用于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购置项目仪器设备。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spacing w:line="400" w:lineRule="exact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lang w:val="en-US" w:eastAsia="zh-CN"/>
              </w:rPr>
              <w:t>1家国家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制造业创新中心开展能力建设配套项目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</w:rPr>
              <w:t>。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titlePg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F6F53"/>
    <w:rsid w:val="0BD37061"/>
    <w:rsid w:val="14376E0A"/>
    <w:rsid w:val="15F768F7"/>
    <w:rsid w:val="19FF6F53"/>
    <w:rsid w:val="1AAD0012"/>
    <w:rsid w:val="1ACC608F"/>
    <w:rsid w:val="216440FB"/>
    <w:rsid w:val="35E94658"/>
    <w:rsid w:val="3CD768F1"/>
    <w:rsid w:val="419A6FC9"/>
    <w:rsid w:val="42D80BD5"/>
    <w:rsid w:val="4AF60E91"/>
    <w:rsid w:val="4BEF438C"/>
    <w:rsid w:val="4C171969"/>
    <w:rsid w:val="519F5AD4"/>
    <w:rsid w:val="57556CBE"/>
    <w:rsid w:val="60A90621"/>
    <w:rsid w:val="6A360738"/>
    <w:rsid w:val="6A5C477D"/>
    <w:rsid w:val="6E174424"/>
    <w:rsid w:val="725E13B4"/>
    <w:rsid w:val="731B0ED9"/>
    <w:rsid w:val="780A61F0"/>
    <w:rsid w:val="78D60473"/>
    <w:rsid w:val="7DE62291"/>
    <w:rsid w:val="7EAF39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6">
    <w:name w:val="Heading1"/>
    <w:basedOn w:val="1"/>
    <w:next w:val="1"/>
    <w:qFormat/>
    <w:uiPriority w:val="0"/>
    <w:pPr>
      <w:keepNext/>
      <w:keepLines/>
      <w:widowControl w:val="0"/>
      <w:spacing w:line="576" w:lineRule="auto"/>
      <w:textAlignment w:val="baseline"/>
    </w:pPr>
    <w:rPr>
      <w:rFonts w:cs="Times New Roman"/>
      <w:b/>
      <w:bCs/>
      <w:kern w:val="44"/>
      <w:sz w:val="44"/>
      <w:szCs w:val="4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2022-10-26T01:59:00Z</dcterms:created>
  <dc:creator>曲超</dc:creator>
  <cp:lastModifiedBy>曲超</cp:lastModifiedBy>
  <dcterms:modified xsi:type="dcterms:W3CDTF">2022-10-26T02:02:01Z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