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textAlignment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梅州市</w:t>
      </w:r>
      <w:r>
        <w:rPr>
          <w:rFonts w:ascii="方正小标宋简体" w:hAnsi="方正小标宋简体" w:eastAsia="方正小标宋简体" w:cs="方正小标宋简体"/>
          <w:sz w:val="44"/>
          <w:szCs w:val="44"/>
        </w:rPr>
        <w:t>高价值</w:t>
      </w:r>
      <w:r>
        <w:rPr>
          <w:rFonts w:hint="eastAsia" w:ascii="方正小标宋简体" w:hAnsi="方正小标宋简体" w:eastAsia="方正小标宋简体" w:cs="方正小标宋简体"/>
          <w:sz w:val="44"/>
          <w:szCs w:val="44"/>
        </w:rPr>
        <w:t>知识产权</w:t>
      </w:r>
      <w:r>
        <w:rPr>
          <w:rFonts w:ascii="方正小标宋简体" w:hAnsi="方正小标宋简体" w:eastAsia="方正小标宋简体" w:cs="方正小标宋简体"/>
          <w:sz w:val="44"/>
          <w:szCs w:val="44"/>
        </w:rPr>
        <w:t>培育布局大赛</w:t>
      </w:r>
    </w:p>
    <w:p>
      <w:pPr>
        <w:widowControl/>
        <w:spacing w:line="600" w:lineRule="exact"/>
        <w:jc w:val="center"/>
        <w:textAlignment w:val="center"/>
        <w:rPr>
          <w:rFonts w:ascii="方正小标宋简体" w:hAnsi="方正小标宋简体" w:eastAsia="方正小标宋简体" w:cs="方正小标宋简体"/>
          <w:color w:val="FF0000"/>
          <w:sz w:val="44"/>
          <w:szCs w:val="44"/>
        </w:rPr>
      </w:pPr>
      <w:r>
        <w:rPr>
          <w:rFonts w:hint="eastAsia" w:ascii="方正小标宋简体" w:hAnsi="方正小标宋简体" w:eastAsia="方正小标宋简体" w:cs="方正小标宋简体"/>
          <w:sz w:val="44"/>
          <w:szCs w:val="44"/>
        </w:rPr>
        <w:t>五十</w:t>
      </w:r>
      <w:r>
        <w:rPr>
          <w:rFonts w:ascii="方正小标宋简体" w:hAnsi="方正小标宋简体" w:eastAsia="方正小标宋简体" w:cs="方正小标宋简体"/>
          <w:sz w:val="44"/>
          <w:szCs w:val="44"/>
        </w:rPr>
        <w:t>强</w:t>
      </w:r>
      <w:r>
        <w:rPr>
          <w:rFonts w:hint="eastAsia" w:ascii="方正小标宋简体" w:hAnsi="方正小标宋简体" w:eastAsia="方正小标宋简体" w:cs="方正小标宋简体"/>
          <w:sz w:val="44"/>
          <w:szCs w:val="44"/>
        </w:rPr>
        <w:t>评审结果公示</w:t>
      </w:r>
      <w:r>
        <w:rPr>
          <w:rFonts w:ascii="方正小标宋简体" w:hAnsi="方正小标宋简体" w:eastAsia="方正小标宋简体" w:cs="方正小标宋简体"/>
          <w:sz w:val="44"/>
          <w:szCs w:val="44"/>
        </w:rPr>
        <w:t>名单</w:t>
      </w:r>
    </w:p>
    <w:p>
      <w:pPr>
        <w:pStyle w:val="2"/>
        <w:spacing w:line="600" w:lineRule="exact"/>
        <w:rPr>
          <w:rFonts w:ascii="仿宋_GB2312" w:eastAsia="仿宋_GB2312"/>
          <w:sz w:val="24"/>
          <w:szCs w:val="24"/>
        </w:rPr>
      </w:pPr>
    </w:p>
    <w:p>
      <w:pPr>
        <w:pStyle w:val="2"/>
        <w:jc w:val="center"/>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（按项目编号排序）</w:t>
      </w:r>
    </w:p>
    <w:tbl>
      <w:tblPr>
        <w:tblStyle w:val="5"/>
        <w:tblW w:w="8569" w:type="dxa"/>
        <w:jc w:val="center"/>
        <w:tblInd w:w="0" w:type="dxa"/>
        <w:tblLayout w:type="fixed"/>
        <w:tblCellMar>
          <w:top w:w="0" w:type="dxa"/>
          <w:left w:w="108" w:type="dxa"/>
          <w:bottom w:w="0" w:type="dxa"/>
          <w:right w:w="108" w:type="dxa"/>
        </w:tblCellMar>
      </w:tblPr>
      <w:tblGrid>
        <w:gridCol w:w="762"/>
        <w:gridCol w:w="1076"/>
        <w:gridCol w:w="1418"/>
        <w:gridCol w:w="1275"/>
        <w:gridCol w:w="2127"/>
        <w:gridCol w:w="1911"/>
      </w:tblGrid>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b/>
                <w:bCs/>
                <w:color w:val="000000"/>
                <w:kern w:val="0"/>
                <w:sz w:val="24"/>
                <w:szCs w:val="24"/>
                <w:lang w:bidi="ar"/>
              </w:rPr>
            </w:pPr>
            <w:r>
              <w:rPr>
                <w:rFonts w:hint="eastAsia" w:ascii="仿宋_GB2312" w:hAnsi="仿宋_GB2312" w:eastAsia="仿宋_GB2312" w:cs="仿宋_GB2312"/>
                <w:b/>
                <w:bCs/>
                <w:color w:val="000000"/>
                <w:kern w:val="0"/>
                <w:sz w:val="24"/>
                <w:szCs w:val="24"/>
                <w:lang w:bidi="ar"/>
              </w:rPr>
              <w:t>项目</w:t>
            </w:r>
          </w:p>
          <w:p>
            <w:pPr>
              <w:widowControl/>
              <w:jc w:val="center"/>
              <w:textAlignment w:val="center"/>
              <w:rPr>
                <w:rFonts w:ascii="仿宋_GB2312" w:hAnsi="仿宋_GB2312" w:eastAsia="仿宋_GB2312" w:cs="仿宋_GB2312"/>
                <w:b/>
                <w:bCs/>
                <w:color w:val="000000"/>
                <w:kern w:val="0"/>
                <w:sz w:val="24"/>
                <w:szCs w:val="24"/>
                <w:lang w:bidi="ar"/>
              </w:rPr>
            </w:pPr>
            <w:r>
              <w:rPr>
                <w:rFonts w:hint="eastAsia" w:ascii="仿宋_GB2312" w:hAnsi="仿宋_GB2312" w:eastAsia="仿宋_GB2312" w:cs="仿宋_GB2312"/>
                <w:b/>
                <w:bCs/>
                <w:color w:val="000000"/>
                <w:kern w:val="0"/>
                <w:sz w:val="24"/>
                <w:szCs w:val="24"/>
                <w:lang w:bidi="ar"/>
              </w:rPr>
              <w:t>编号</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b/>
                <w:bCs/>
                <w:color w:val="000000"/>
                <w:kern w:val="0"/>
                <w:sz w:val="24"/>
                <w:szCs w:val="24"/>
                <w:lang w:bidi="ar"/>
              </w:rPr>
            </w:pPr>
            <w:r>
              <w:rPr>
                <w:rFonts w:hint="eastAsia" w:ascii="仿宋_GB2312" w:hAnsi="仿宋_GB2312" w:eastAsia="仿宋_GB2312" w:cs="仿宋_GB2312"/>
                <w:b/>
                <w:bCs/>
                <w:color w:val="000000"/>
                <w:kern w:val="0"/>
                <w:sz w:val="24"/>
                <w:szCs w:val="24"/>
                <w:lang w:bidi="ar"/>
              </w:rPr>
              <w:t>所在</w:t>
            </w:r>
          </w:p>
          <w:p>
            <w:pPr>
              <w:widowControl/>
              <w:jc w:val="center"/>
              <w:textAlignment w:val="center"/>
              <w:rPr>
                <w:rFonts w:ascii="仿宋_GB2312" w:hAnsi="仿宋_GB2312" w:eastAsia="仿宋_GB2312" w:cs="仿宋_GB2312"/>
                <w:b/>
                <w:bCs/>
                <w:color w:val="000000"/>
                <w:kern w:val="0"/>
                <w:sz w:val="24"/>
                <w:szCs w:val="24"/>
                <w:lang w:bidi="ar"/>
              </w:rPr>
            </w:pPr>
            <w:r>
              <w:rPr>
                <w:rFonts w:hint="eastAsia" w:ascii="仿宋_GB2312" w:hAnsi="仿宋_GB2312" w:eastAsia="仿宋_GB2312" w:cs="仿宋_GB2312"/>
                <w:b/>
                <w:bCs/>
                <w:color w:val="000000"/>
                <w:kern w:val="0"/>
                <w:sz w:val="24"/>
                <w:szCs w:val="24"/>
                <w:lang w:bidi="ar"/>
              </w:rPr>
              <w:t>区域</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b/>
                <w:bCs/>
                <w:color w:val="000000"/>
                <w:kern w:val="0"/>
                <w:sz w:val="24"/>
                <w:szCs w:val="24"/>
                <w:lang w:bidi="ar"/>
              </w:rPr>
            </w:pPr>
            <w:r>
              <w:rPr>
                <w:rFonts w:hint="eastAsia" w:ascii="仿宋_GB2312" w:hAnsi="仿宋_GB2312" w:eastAsia="仿宋_GB2312" w:cs="仿宋_GB2312"/>
                <w:b/>
                <w:bCs/>
                <w:color w:val="000000"/>
                <w:kern w:val="0"/>
                <w:sz w:val="24"/>
                <w:szCs w:val="24"/>
                <w:lang w:bidi="ar"/>
              </w:rPr>
              <w:t>项目类别</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b/>
                <w:bCs/>
                <w:color w:val="000000"/>
                <w:kern w:val="0"/>
                <w:sz w:val="24"/>
                <w:szCs w:val="24"/>
                <w:lang w:bidi="ar"/>
              </w:rPr>
            </w:pPr>
            <w:r>
              <w:rPr>
                <w:rFonts w:hint="eastAsia" w:ascii="仿宋_GB2312" w:hAnsi="仿宋_GB2312" w:eastAsia="仿宋_GB2312" w:cs="仿宋_GB2312"/>
                <w:b/>
                <w:bCs/>
                <w:color w:val="000000"/>
                <w:kern w:val="0"/>
                <w:sz w:val="24"/>
                <w:szCs w:val="24"/>
                <w:lang w:bidi="ar"/>
              </w:rPr>
              <w:t>项目领域</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b/>
                <w:bCs/>
                <w:color w:val="000000"/>
                <w:kern w:val="0"/>
                <w:sz w:val="24"/>
                <w:szCs w:val="24"/>
                <w:lang w:bidi="ar"/>
              </w:rPr>
            </w:pPr>
            <w:r>
              <w:rPr>
                <w:rFonts w:hint="eastAsia" w:ascii="仿宋_GB2312" w:hAnsi="仿宋_GB2312" w:eastAsia="仿宋_GB2312" w:cs="仿宋_GB2312"/>
                <w:b/>
                <w:bCs/>
                <w:color w:val="000000"/>
                <w:kern w:val="0"/>
                <w:sz w:val="24"/>
                <w:szCs w:val="24"/>
                <w:lang w:bidi="ar"/>
              </w:rPr>
              <w:t>项目名称</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仿宋_GB2312" w:eastAsia="仿宋_GB2312" w:cs="仿宋_GB2312"/>
                <w:b/>
                <w:bCs/>
                <w:color w:val="000000"/>
                <w:kern w:val="0"/>
                <w:sz w:val="24"/>
                <w:szCs w:val="24"/>
                <w:lang w:bidi="ar"/>
              </w:rPr>
            </w:pPr>
            <w:r>
              <w:rPr>
                <w:rFonts w:hint="eastAsia" w:ascii="仿宋_GB2312" w:hAnsi="仿宋_GB2312" w:eastAsia="仿宋_GB2312" w:cs="仿宋_GB2312"/>
                <w:b/>
                <w:bCs/>
                <w:color w:val="000000"/>
                <w:kern w:val="0"/>
                <w:sz w:val="24"/>
                <w:szCs w:val="24"/>
                <w:lang w:bidi="ar"/>
              </w:rPr>
              <w:t>公司名称</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1003</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五华县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发明成长型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智能家电</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真空果汁机</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广东辉骏科技集团有限公司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1004</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兴宁市</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名峰现代农业</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兴宁市名峰现代农业发展有限公司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1005</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丰顺县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先进制造业 - 现代农业与食品</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“黄金”（图）商标</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丰顺县黄金食品厂</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1006</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高新区</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发明初创型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新一代电子信息</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无线刹车灯控制系统</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梅州市明眸电子科技有限公司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1008</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梅州振声生态农业旅游有限公司</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梅州振声生态农业旅游有限公司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1009</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客迁</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梅州市客迁食品有限公司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1011</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高新区</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先进制造业 - 生物医药与健康</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合百草</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广东合百草制药有限公司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1012</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兴宁市</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先进制造业 - 生物医药与健康</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雄狮</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广东联康药业有限公司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1013</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平远县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林下灵芝泡着喝</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广东原本生态农业有限公司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1015</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梅江区</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现代服务业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兔小贝早教动漫IP商业化项目</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广东起跑线文化股份有限公司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1016</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梅江区</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发明成长型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新一代电子信息</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基于5G 通讯终端高速高散热印制电路关键技术及产业化项目</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博敏电子股份有限公司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1017</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兴宁市</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先进制造业 - 先进材料</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金雁牌漆包线</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广东金雁电工科技股份有限公司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1018</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兴宁市</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先进制造业 - 现代农业与食品</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古法火炙黄酒的轻甜重生</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梅州市客家天地酒业有限公司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1019</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高新区</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发明成长型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新能源</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电池配组方法</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梅州市量能新能源科技有限公司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1020</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平远县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新大地曼佗品牌培育方案</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广东新大地生物科技股份有限公司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1026</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蕉岭县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商标组（猪兜窝/狮子嶂）蕉岭绿茶(地标产品）</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梅州市均保实业有限公司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1027</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丰顺县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发明初创型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精密仪器设备</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电机换向器加工用铰内孔及车削外圆一体化设备</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梅州市顺诚科技有限公司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1029</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丰顺县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先进制造业 - 现代农业与食品</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雅太郎商标设计</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广东雅太郎实业有限公司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1031</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兴宁市</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六千岁山茶油</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保仪生态科技（广东）有限公司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1033</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梅江区</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现代服务业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"115"商标</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广东一一五科技股份有限公司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1036</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发明初创型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高端装备制造</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智慧旗杆·座</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广东日月光智慧旗杆股份有限公司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1038</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高新区</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发明初创型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生物医药与健康</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美洲大蠊提取物有效成分制备日化产品及保健品的关键技术及专利布局</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梅州市华师昆虫发育生物学与应用技术重点实验室广梅园研发中心、梅州华胜广梅生物科技有限公司、华南师范大学</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1040</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兴宁市</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助力乡村振兴，“益乡民”先行</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兴宁市益民粮油加工有限公司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1043</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丰顺县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马图</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梅州市马图茶业有限公司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1044</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兴宁市</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发明成长型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高端装备制造</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移动式密封阀门技术应用</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广东明珠流体机械有限公司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1045</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平远县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现代服务业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南台</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广东南台酒业股份有限公司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1046</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五华县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长乐烧</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广东长乐烧酒业股份有限公司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1047</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丰顺县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铁坑永禄酒</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丰顺县永禄酒厂</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1052</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梅江区</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发明成长型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半导体与集成电路</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高速互连链路PCB高精度背钻技术研发及产业化</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梅州市志浩电子科技有限公司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1053</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大埔县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“凯达”品牌</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广东凯达茶业股份有限公司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1056</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兴宁市</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现代服务业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商标——齐昌</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兴宁市齐昌行贸易有限公司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1059</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兴宁市</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陈小鸽商标预制菜</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梅州市金绿现代农业发展有限公司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1060</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高新区</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柚</w:t>
            </w:r>
            <w:r>
              <w:rPr>
                <w:rFonts w:hint="eastAsia" w:ascii="微软雅黑" w:hAnsi="微软雅黑" w:eastAsia="微软雅黑" w:cs="微软雅黑"/>
                <w:color w:val="000000"/>
                <w:kern w:val="0"/>
                <w:sz w:val="24"/>
                <w:szCs w:val="24"/>
                <w:lang w:bidi="ar"/>
              </w:rPr>
              <w:t>寶</w:t>
            </w:r>
            <w:r>
              <w:rPr>
                <w:rFonts w:hint="eastAsia" w:ascii="仿宋_GB2312" w:hAnsi="仿宋_GB2312" w:eastAsia="仿宋_GB2312" w:cs="仿宋_GB2312"/>
                <w:color w:val="000000"/>
                <w:kern w:val="0"/>
                <w:sz w:val="24"/>
                <w:szCs w:val="24"/>
                <w:lang w:bidi="ar"/>
              </w:rPr>
              <w:t>啤酒项目</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梅州市珍宝金柚实业有限公司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1062</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丰顺县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发明成长型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先进材料</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无载体高效阻燃母粒及其制备方法和应用的研究开发</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广东宇星阻燃新材股份有限公司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1068</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大埔县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打造鹏顺品牌，推进乡村振兴</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梅州市鹏发茶业有限公司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1070</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五华县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发明初创型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新能源</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防水防触电防错相安全插座</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广东中科电工科技有限公司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1075</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梅江区</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发明成长型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先进材料</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一种挠性覆铜板用反转电解铜箔表面处理工艺</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广东盈华电子科技有限公司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1077</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梅江区</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先进制造业 - 半导体与集成电路</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奔创电子</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梅州市奔创电子有限公司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1084</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梅江区</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现代服务业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尚记</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梅州市尚记食品有限公司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1086</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高新区</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发明成长型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智能家电</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冷柜无霜技术基础研究</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万宝电器有限公司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1087</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梅江区</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现代服务业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广东飞翔云计算有限公司“飞翔云”商标布局规划</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广东飞翔云计算有限公司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1093</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客来客往菩米</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梅州客来客往生态科技有限公司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1097</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兴宁市</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先进制造业 - 现代农业与食品</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珍珠红</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广东明珠珍珠红酒业有限公司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1099</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梅江区</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发明成长型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软件与信息服务</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文件上传方法及系统发明专利</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广东一一五科技股份有限公司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1107</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丰顺县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先进制造业 - 生物医药与健康</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粤特快（ARTEQUICK）的品牌建设和国内外市场推广</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广东新南方青蒿药业股份有限公司、广东新南方青蒿科技有限公司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1112</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李金柚</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广东李金柚农业科技有限公司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1114</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大埔县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新型农业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扩大岩中玉兔和西竺商标西岩乌龙茶系列产品品牌建设项目</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广东省大埔县西岩茶叶集团有限公司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1118</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大埔县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先进制造业 - 数字创意</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宝丰陶瓷图形</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广东宝丰陶瓷科技发展股份有限公司</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1121</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梅江区</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发明初创型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新一代电子信息</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高精度介质折射率光学测量技术及仪器开发</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嘉应学院</w:t>
            </w:r>
          </w:p>
        </w:tc>
      </w:tr>
      <w:tr>
        <w:tblPrEx>
          <w:tblLayout w:type="fixed"/>
          <w:tblCellMar>
            <w:top w:w="0" w:type="dxa"/>
            <w:left w:w="108" w:type="dxa"/>
            <w:bottom w:w="0" w:type="dxa"/>
            <w:right w:w="108" w:type="dxa"/>
          </w:tblCellMar>
        </w:tblPrEx>
        <w:trPr>
          <w:trHeight w:val="3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1150</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丰顺县</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商标组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现代服务业</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“深华”品牌建设</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广东深华药业有限公司</w:t>
            </w:r>
          </w:p>
        </w:tc>
      </w:tr>
    </w:tbl>
    <w:p>
      <w:pPr>
        <w:shd w:val="clear" w:color="auto" w:fill="FFFFFF"/>
        <w:adjustRightInd w:val="0"/>
        <w:spacing w:line="580" w:lineRule="exact"/>
        <w:jc w:val="center"/>
        <w:rPr>
          <w:rFonts w:ascii="Times New Roman" w:hAnsi="Times New Roman" w:eastAsia="仿宋_GB2312"/>
          <w:kern w:val="0"/>
          <w:sz w:val="32"/>
          <w:szCs w:val="32"/>
        </w:rPr>
      </w:pPr>
    </w:p>
    <w:p>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微软雅黑"/>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4</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970B93"/>
    <w:rsid w:val="3F970B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宋体"/>
      <w:szCs w:val="21"/>
    </w:rPr>
  </w:style>
  <w:style w:type="paragraph" w:styleId="3">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2023-07-11T03:15:00Z</dcterms:created>
  <dc:creator>null</dc:creator>
  <cp:lastModifiedBy>null</cp:lastModifiedBy>
  <dcterms:modified xsi:type="dcterms:W3CDTF">2023-07-11T03:15:50Z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