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2023年中央财政外经贸发展专项资金（跨境电子商务事项）资金安排方案（初步安排）</w:t>
      </w:r>
      <w:bookmarkStart w:id="0" w:name="_GoBack"/>
      <w:bookmarkEnd w:id="0"/>
    </w:p>
    <w:tbl>
      <w:tblPr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50"/>
        <w:gridCol w:w="3934"/>
        <w:gridCol w:w="294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2360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企业名称</w:t>
            </w:r>
          </w:p>
        </w:tc>
        <w:tc>
          <w:tcPr>
            <w:tcW w:w="1769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拟支持金额（万元）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236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广州南沙国际物流园开发有限公司</w:t>
            </w:r>
          </w:p>
        </w:tc>
        <w:tc>
          <w:tcPr>
            <w:tcW w:w="176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236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易网创新科技（广州）有限公司</w:t>
            </w:r>
          </w:p>
        </w:tc>
        <w:tc>
          <w:tcPr>
            <w:tcW w:w="176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236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广东旭平首饰有限公司</w:t>
            </w:r>
          </w:p>
        </w:tc>
        <w:tc>
          <w:tcPr>
            <w:tcW w:w="176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18.1855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236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广州瞄准界贸易有限公司</w:t>
            </w:r>
          </w:p>
        </w:tc>
        <w:tc>
          <w:tcPr>
            <w:tcW w:w="176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1.99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236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广州市华希商贸有限公司</w:t>
            </w:r>
          </w:p>
        </w:tc>
        <w:tc>
          <w:tcPr>
            <w:tcW w:w="176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1.99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236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八橙科技（广州）有限公司</w:t>
            </w:r>
          </w:p>
        </w:tc>
        <w:tc>
          <w:tcPr>
            <w:tcW w:w="176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1.116575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236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广州圣帕斯科技有限公司</w:t>
            </w:r>
          </w:p>
        </w:tc>
        <w:tc>
          <w:tcPr>
            <w:tcW w:w="176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2.78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236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广州万仕得涂料科技有限公司</w:t>
            </w:r>
          </w:p>
        </w:tc>
        <w:tc>
          <w:tcPr>
            <w:tcW w:w="176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9</w:t>
            </w:r>
          </w:p>
        </w:tc>
        <w:tc>
          <w:tcPr>
            <w:tcW w:w="236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广州源氏汽车配件有限公司</w:t>
            </w:r>
          </w:p>
        </w:tc>
        <w:tc>
          <w:tcPr>
            <w:tcW w:w="176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2.49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236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广州市联柔机械设备有限公司</w:t>
            </w:r>
          </w:p>
        </w:tc>
        <w:tc>
          <w:tcPr>
            <w:tcW w:w="176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9.02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11</w:t>
            </w:r>
          </w:p>
        </w:tc>
        <w:tc>
          <w:tcPr>
            <w:tcW w:w="236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王牌科技（广州）有限公司</w:t>
            </w:r>
          </w:p>
        </w:tc>
        <w:tc>
          <w:tcPr>
            <w:tcW w:w="176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12</w:t>
            </w:r>
          </w:p>
        </w:tc>
        <w:tc>
          <w:tcPr>
            <w:tcW w:w="236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广州市谷希欧皮具有限公司</w:t>
            </w:r>
          </w:p>
        </w:tc>
        <w:tc>
          <w:tcPr>
            <w:tcW w:w="176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13</w:t>
            </w:r>
          </w:p>
        </w:tc>
        <w:tc>
          <w:tcPr>
            <w:tcW w:w="236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广东增撙铝材有限公司</w:t>
            </w:r>
          </w:p>
        </w:tc>
        <w:tc>
          <w:tcPr>
            <w:tcW w:w="176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2.891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14</w:t>
            </w:r>
          </w:p>
        </w:tc>
        <w:tc>
          <w:tcPr>
            <w:tcW w:w="236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广州汇通达国际贸易有限公司</w:t>
            </w:r>
          </w:p>
        </w:tc>
        <w:tc>
          <w:tcPr>
            <w:tcW w:w="176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5.62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30" w:type="pct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合计</w:t>
            </w:r>
          </w:p>
        </w:tc>
        <w:tc>
          <w:tcPr>
            <w:tcW w:w="176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181.123075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110A2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2023-08-10T03:56:55Z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30689EB9750642A089033D13CC618A87_12</vt:lpwstr>
  </property>
</Properties>
</file>