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附件</w:t>
      </w: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0"/>
          <w:szCs w:val="48"/>
          <w:lang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8"/>
          <w:lang w:eastAsia="zh-CN"/>
        </w:rPr>
        <w:t>2023年中央外经贸发展专项资金</w:t>
      </w:r>
    </w:p>
    <w:p>
      <w:pPr>
        <w:jc w:val="center"/>
        <w:rPr>
          <w:rFonts w:hint="eastAsia" w:ascii="黑体" w:hAnsi="黑体" w:eastAsia="黑体" w:cs="黑体"/>
          <w:b/>
          <w:bCs/>
          <w:sz w:val="40"/>
          <w:szCs w:val="48"/>
          <w:lang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8"/>
          <w:lang w:eastAsia="zh-CN"/>
        </w:rPr>
        <w:t>（跨境电子商务事项）分配方案</w:t>
      </w:r>
    </w:p>
    <w:p>
      <w:pPr>
        <w:rPr>
          <w:rFonts w:hint="eastAsia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037"/>
        <w:gridCol w:w="3644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地市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分配金额（万元）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广州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珠海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汕头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梅州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惠州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中山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江门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阳江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湛江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茂名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6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潮州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568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合计</w:t>
            </w:r>
            <w:bookmarkStart w:id="0" w:name="_GoBack"/>
            <w:bookmarkEnd w:id="0"/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2200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BAF0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2023-08-28T09:11:07Z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AFEA24D75FFC4C9992501B44399A8AED_12</vt:lpwstr>
  </property>
</Properties>
</file>