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both"/>
        <w:rPr>
          <w:rFonts w:ascii="微软雅黑" w:hAnsi="微软雅黑" w:eastAsia="微软雅黑" w:cs="微软雅黑"/>
          <w:i w:val="0"/>
          <w:iCs w:val="0"/>
          <w:caps w:val="0"/>
          <w:color w:val="333333"/>
          <w:spacing w:val="0"/>
          <w:sz w:val="21"/>
          <w:szCs w:val="21"/>
        </w:rPr>
      </w:pPr>
      <w:r>
        <w:rPr>
          <w:rFonts w:hint="eastAsia" w:ascii="宋体" w:hAnsi="宋体" w:eastAsia="宋体" w:cs="宋体"/>
          <w:i w:val="0"/>
          <w:iCs w:val="0"/>
          <w:caps w:val="0"/>
          <w:color w:val="333333"/>
          <w:spacing w:val="0"/>
          <w:sz w:val="30"/>
          <w:szCs w:val="30"/>
          <w:bdr w:val="none" w:color="auto" w:sz="0" w:space="0"/>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　</w:t>
      </w:r>
      <w:r>
        <w:rPr>
          <w:rFonts w:hint="eastAsia" w:ascii="微软雅黑" w:hAnsi="微软雅黑" w:eastAsia="微软雅黑" w:cs="微软雅黑"/>
          <w:i w:val="0"/>
          <w:iCs w:val="0"/>
          <w:caps w:val="0"/>
          <w:color w:val="333333"/>
          <w:spacing w:val="0"/>
          <w:sz w:val="22"/>
          <w:szCs w:val="22"/>
          <w:bdr w:val="none" w:color="auto" w:sz="0" w:space="0"/>
        </w:rPr>
        <w:t>　</w:t>
      </w:r>
      <w:r>
        <w:rPr>
          <w:rStyle w:val="5"/>
          <w:rFonts w:hint="eastAsia" w:ascii="宋体" w:hAnsi="宋体" w:eastAsia="宋体" w:cs="宋体"/>
          <w:i w:val="0"/>
          <w:iCs w:val="0"/>
          <w:caps w:val="0"/>
          <w:color w:val="333333"/>
          <w:spacing w:val="0"/>
          <w:sz w:val="32"/>
          <w:szCs w:val="32"/>
          <w:bdr w:val="none" w:color="auto" w:sz="0" w:space="0"/>
        </w:rPr>
        <w:t>惠州市综合实力高新技术企业二十强（2023年）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　　</w:t>
      </w:r>
      <w:r>
        <w:rPr>
          <w:rFonts w:hint="eastAsia" w:ascii="宋体" w:hAnsi="宋体" w:eastAsia="宋体" w:cs="宋体"/>
          <w:i w:val="0"/>
          <w:iCs w:val="0"/>
          <w:caps w:val="0"/>
          <w:color w:val="333333"/>
          <w:spacing w:val="0"/>
          <w:sz w:val="30"/>
          <w:szCs w:val="30"/>
          <w:bdr w:val="none" w:color="auto" w:sz="0" w:space="0"/>
        </w:rPr>
        <w:t>惠州市德赛西威汽车电子股份有限公司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　　</w:t>
      </w:r>
      <w:r>
        <w:rPr>
          <w:rFonts w:hint="eastAsia" w:ascii="宋体" w:hAnsi="宋体" w:eastAsia="宋体" w:cs="宋体"/>
          <w:i w:val="0"/>
          <w:iCs w:val="0"/>
          <w:caps w:val="0"/>
          <w:color w:val="333333"/>
          <w:spacing w:val="0"/>
          <w:sz w:val="30"/>
          <w:szCs w:val="30"/>
          <w:bdr w:val="none" w:color="auto" w:sz="0" w:space="0"/>
        </w:rPr>
        <w:t>惠州比亚迪电子有限公司</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　　</w:t>
      </w:r>
      <w:r>
        <w:rPr>
          <w:rFonts w:hint="eastAsia" w:ascii="宋体" w:hAnsi="宋体" w:eastAsia="宋体" w:cs="宋体"/>
          <w:i w:val="0"/>
          <w:iCs w:val="0"/>
          <w:caps w:val="0"/>
          <w:color w:val="333333"/>
          <w:spacing w:val="0"/>
          <w:sz w:val="30"/>
          <w:szCs w:val="30"/>
          <w:bdr w:val="none" w:color="auto" w:sz="0" w:space="0"/>
        </w:rPr>
        <w:t>惠州亿纬锂能股份有限公司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　　</w:t>
      </w:r>
      <w:r>
        <w:rPr>
          <w:rFonts w:hint="eastAsia" w:ascii="宋体" w:hAnsi="宋体" w:eastAsia="宋体" w:cs="宋体"/>
          <w:i w:val="0"/>
          <w:iCs w:val="0"/>
          <w:caps w:val="0"/>
          <w:color w:val="333333"/>
          <w:spacing w:val="0"/>
          <w:sz w:val="30"/>
          <w:szCs w:val="30"/>
          <w:bdr w:val="none" w:color="auto" w:sz="0" w:space="0"/>
        </w:rPr>
        <w:t>TCL科技集团股份有限公司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　　</w:t>
      </w:r>
      <w:r>
        <w:rPr>
          <w:rFonts w:hint="eastAsia" w:ascii="宋体" w:hAnsi="宋体" w:eastAsia="宋体" w:cs="宋体"/>
          <w:i w:val="0"/>
          <w:iCs w:val="0"/>
          <w:caps w:val="0"/>
          <w:color w:val="333333"/>
          <w:spacing w:val="0"/>
          <w:sz w:val="30"/>
          <w:szCs w:val="30"/>
          <w:bdr w:val="none" w:color="auto" w:sz="0" w:space="0"/>
        </w:rPr>
        <w:t>伯恩光学（惠州）有限公司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　　</w:t>
      </w:r>
      <w:r>
        <w:rPr>
          <w:rFonts w:hint="eastAsia" w:ascii="宋体" w:hAnsi="宋体" w:eastAsia="宋体" w:cs="宋体"/>
          <w:i w:val="0"/>
          <w:iCs w:val="0"/>
          <w:caps w:val="0"/>
          <w:color w:val="333333"/>
          <w:spacing w:val="0"/>
          <w:sz w:val="30"/>
          <w:szCs w:val="30"/>
          <w:bdr w:val="none" w:color="auto" w:sz="0" w:space="0"/>
        </w:rPr>
        <w:t>广东利元亨智能装备股份有限公司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　　</w:t>
      </w:r>
      <w:r>
        <w:rPr>
          <w:rFonts w:hint="eastAsia" w:ascii="宋体" w:hAnsi="宋体" w:eastAsia="宋体" w:cs="宋体"/>
          <w:i w:val="0"/>
          <w:iCs w:val="0"/>
          <w:caps w:val="0"/>
          <w:color w:val="333333"/>
          <w:spacing w:val="0"/>
          <w:sz w:val="30"/>
          <w:szCs w:val="30"/>
          <w:bdr w:val="none" w:color="auto" w:sz="0" w:space="0"/>
        </w:rPr>
        <w:t>胜宏科技（惠州）股份有限公司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　　</w:t>
      </w:r>
      <w:r>
        <w:rPr>
          <w:rFonts w:hint="eastAsia" w:ascii="宋体" w:hAnsi="宋体" w:eastAsia="宋体" w:cs="宋体"/>
          <w:i w:val="0"/>
          <w:iCs w:val="0"/>
          <w:caps w:val="0"/>
          <w:color w:val="333333"/>
          <w:spacing w:val="0"/>
          <w:sz w:val="30"/>
          <w:szCs w:val="30"/>
          <w:bdr w:val="none" w:color="auto" w:sz="0" w:space="0"/>
        </w:rPr>
        <w:t>龙旗电子（惠州）有限公司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　　</w:t>
      </w:r>
      <w:r>
        <w:rPr>
          <w:rFonts w:hint="eastAsia" w:ascii="宋体" w:hAnsi="宋体" w:eastAsia="宋体" w:cs="宋体"/>
          <w:i w:val="0"/>
          <w:iCs w:val="0"/>
          <w:caps w:val="0"/>
          <w:color w:val="333333"/>
          <w:spacing w:val="0"/>
          <w:sz w:val="30"/>
          <w:szCs w:val="30"/>
          <w:bdr w:val="none" w:color="auto" w:sz="0" w:space="0"/>
        </w:rPr>
        <w:t>TCL王牌电器（惠州）有限公司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　　</w:t>
      </w:r>
      <w:r>
        <w:rPr>
          <w:rFonts w:hint="eastAsia" w:ascii="宋体" w:hAnsi="宋体" w:eastAsia="宋体" w:cs="宋体"/>
          <w:i w:val="0"/>
          <w:iCs w:val="0"/>
          <w:caps w:val="0"/>
          <w:color w:val="333333"/>
          <w:spacing w:val="0"/>
          <w:sz w:val="30"/>
          <w:szCs w:val="30"/>
          <w:bdr w:val="none" w:color="auto" w:sz="0" w:space="0"/>
        </w:rPr>
        <w:t>惠州市百思达精密机械有限公司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　　</w:t>
      </w:r>
      <w:r>
        <w:rPr>
          <w:rFonts w:hint="eastAsia" w:ascii="宋体" w:hAnsi="宋体" w:eastAsia="宋体" w:cs="宋体"/>
          <w:i w:val="0"/>
          <w:iCs w:val="0"/>
          <w:caps w:val="0"/>
          <w:color w:val="333333"/>
          <w:spacing w:val="0"/>
          <w:sz w:val="30"/>
          <w:szCs w:val="30"/>
          <w:bdr w:val="none" w:color="auto" w:sz="0" w:space="0"/>
        </w:rPr>
        <w:t>通力科技股份有限公司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　　</w:t>
      </w:r>
      <w:r>
        <w:rPr>
          <w:rFonts w:hint="eastAsia" w:ascii="宋体" w:hAnsi="宋体" w:eastAsia="宋体" w:cs="宋体"/>
          <w:i w:val="0"/>
          <w:iCs w:val="0"/>
          <w:caps w:val="0"/>
          <w:color w:val="333333"/>
          <w:spacing w:val="0"/>
          <w:sz w:val="30"/>
          <w:szCs w:val="30"/>
          <w:bdr w:val="none" w:color="auto" w:sz="0" w:space="0"/>
        </w:rPr>
        <w:t>惠州亿纬集能有限公司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　　</w:t>
      </w:r>
      <w:r>
        <w:rPr>
          <w:rFonts w:hint="eastAsia" w:ascii="宋体" w:hAnsi="宋体" w:eastAsia="宋体" w:cs="宋体"/>
          <w:i w:val="0"/>
          <w:iCs w:val="0"/>
          <w:caps w:val="0"/>
          <w:color w:val="333333"/>
          <w:spacing w:val="0"/>
          <w:sz w:val="30"/>
          <w:szCs w:val="30"/>
          <w:bdr w:val="none" w:color="auto" w:sz="0" w:space="0"/>
        </w:rPr>
        <w:t>惠州锂威新能源科技有限公司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　　</w:t>
      </w:r>
      <w:r>
        <w:rPr>
          <w:rFonts w:hint="eastAsia" w:ascii="宋体" w:hAnsi="宋体" w:eastAsia="宋体" w:cs="宋体"/>
          <w:i w:val="0"/>
          <w:iCs w:val="0"/>
          <w:caps w:val="0"/>
          <w:color w:val="333333"/>
          <w:spacing w:val="0"/>
          <w:sz w:val="30"/>
          <w:szCs w:val="30"/>
          <w:bdr w:val="none" w:color="auto" w:sz="0" w:space="0"/>
        </w:rPr>
        <w:t>惠州比亚迪电池有限公司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　　</w:t>
      </w:r>
      <w:r>
        <w:rPr>
          <w:rFonts w:hint="eastAsia" w:ascii="宋体" w:hAnsi="宋体" w:eastAsia="宋体" w:cs="宋体"/>
          <w:i w:val="0"/>
          <w:iCs w:val="0"/>
          <w:caps w:val="0"/>
          <w:color w:val="333333"/>
          <w:spacing w:val="0"/>
          <w:sz w:val="30"/>
          <w:szCs w:val="30"/>
          <w:bdr w:val="none" w:color="auto" w:sz="0" w:space="0"/>
        </w:rPr>
        <w:t>惠州宇新化工有限责任公司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　　</w:t>
      </w:r>
      <w:r>
        <w:rPr>
          <w:rFonts w:hint="eastAsia" w:ascii="宋体" w:hAnsi="宋体" w:eastAsia="宋体" w:cs="宋体"/>
          <w:i w:val="0"/>
          <w:iCs w:val="0"/>
          <w:caps w:val="0"/>
          <w:color w:val="333333"/>
          <w:spacing w:val="0"/>
          <w:sz w:val="30"/>
          <w:szCs w:val="30"/>
          <w:bdr w:val="none" w:color="auto" w:sz="0" w:space="0"/>
        </w:rPr>
        <w:t>惠州德晋昌光电科技有限公司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　　</w:t>
      </w:r>
      <w:r>
        <w:rPr>
          <w:rFonts w:hint="eastAsia" w:ascii="宋体" w:hAnsi="宋体" w:eastAsia="宋体" w:cs="宋体"/>
          <w:i w:val="0"/>
          <w:iCs w:val="0"/>
          <w:caps w:val="0"/>
          <w:color w:val="333333"/>
          <w:spacing w:val="0"/>
          <w:sz w:val="30"/>
          <w:szCs w:val="30"/>
          <w:bdr w:val="none" w:color="auto" w:sz="0" w:space="0"/>
        </w:rPr>
        <w:t>惠州拓邦电气技术有限公司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　　</w:t>
      </w:r>
      <w:r>
        <w:rPr>
          <w:rFonts w:hint="eastAsia" w:ascii="宋体" w:hAnsi="宋体" w:eastAsia="宋体" w:cs="宋体"/>
          <w:i w:val="0"/>
          <w:iCs w:val="0"/>
          <w:caps w:val="0"/>
          <w:color w:val="333333"/>
          <w:spacing w:val="0"/>
          <w:sz w:val="30"/>
          <w:szCs w:val="30"/>
          <w:bdr w:val="none" w:color="auto" w:sz="0" w:space="0"/>
        </w:rPr>
        <w:t>惠州雷士光电科技有限公司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　　</w:t>
      </w:r>
      <w:r>
        <w:rPr>
          <w:rFonts w:hint="eastAsia" w:ascii="宋体" w:hAnsi="宋体" w:eastAsia="宋体" w:cs="宋体"/>
          <w:i w:val="0"/>
          <w:iCs w:val="0"/>
          <w:caps w:val="0"/>
          <w:color w:val="333333"/>
          <w:spacing w:val="0"/>
          <w:sz w:val="30"/>
          <w:szCs w:val="30"/>
          <w:bdr w:val="none" w:color="auto" w:sz="0" w:space="0"/>
        </w:rPr>
        <w:t>惠州市赢合科技有限公司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　　</w:t>
      </w:r>
      <w:r>
        <w:rPr>
          <w:rFonts w:hint="eastAsia" w:ascii="宋体" w:hAnsi="宋体" w:eastAsia="宋体" w:cs="宋体"/>
          <w:i w:val="0"/>
          <w:iCs w:val="0"/>
          <w:caps w:val="0"/>
          <w:color w:val="333333"/>
          <w:spacing w:val="0"/>
          <w:sz w:val="30"/>
          <w:szCs w:val="30"/>
          <w:bdr w:val="none" w:color="auto" w:sz="0" w:space="0"/>
        </w:rPr>
        <w:t>惠州市贝特瑞新材料科技有限公司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　　</w:t>
      </w:r>
      <w:r>
        <w:rPr>
          <w:rFonts w:hint="eastAsia" w:ascii="宋体" w:hAnsi="宋体" w:eastAsia="宋体" w:cs="宋体"/>
          <w:i w:val="0"/>
          <w:iCs w:val="0"/>
          <w:caps w:val="0"/>
          <w:color w:val="333333"/>
          <w:spacing w:val="0"/>
          <w:sz w:val="30"/>
          <w:szCs w:val="30"/>
          <w:bdr w:val="none" w:color="auto" w:sz="0" w:space="0"/>
        </w:rPr>
        <w:t>注：综合实力高企二十强：是经济规模、科技含量或者社会影响力等方面在我市具有领先地位的高新技术企业，从营业收入、营业利润、研发投入总额、硕士及以上研发人员数、市级以上创新平台、新增发明专利申请数、拥有有效发明专利数、技术合同成交金额等多项指标进行综合评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23EA62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2023-08-07T03:45:54Z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F9F84B5924CF44B998BDAD9FB94E3B52_12</vt:lpwstr>
  </property>
</Properties>
</file>