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企业名单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</w:p>
    <w:tbl>
      <w:tblPr>
        <w:tblStyle w:val="3"/>
        <w:tblW w:w="0" w:type="auto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5"/>
        <w:gridCol w:w="3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5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833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  <w:t>申请项目类型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5" w:type="dxa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广东足迹鞋业有限公司</w:t>
            </w:r>
          </w:p>
        </w:tc>
        <w:tc>
          <w:tcPr>
            <w:tcW w:w="3833" w:type="dxa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南海区直播电商示范企业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5" w:type="dxa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广东林氏家居股份有限公司</w:t>
            </w:r>
          </w:p>
        </w:tc>
        <w:tc>
          <w:tcPr>
            <w:tcW w:w="3833" w:type="dxa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南海区直播电商示范企业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5" w:type="dxa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佛山市凯泰创展科技园有限公司</w:t>
            </w:r>
          </w:p>
        </w:tc>
        <w:tc>
          <w:tcPr>
            <w:tcW w:w="3833" w:type="dxa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南海区电子商务产业园区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5" w:type="dxa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佛山市万科产办物业管理有</w:t>
            </w:r>
            <w:bookmarkStart w:id="0" w:name="_GoBack"/>
            <w:bookmarkEnd w:id="0"/>
            <w:r>
              <w:rPr>
                <w:rFonts w:hint="eastAsia"/>
                <w:sz w:val="32"/>
                <w:szCs w:val="32"/>
                <w:vertAlign w:val="baseline"/>
              </w:rPr>
              <w:t>限公司</w:t>
            </w:r>
          </w:p>
        </w:tc>
        <w:tc>
          <w:tcPr>
            <w:tcW w:w="3833" w:type="dxa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南海区电子商务产业园区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佛山市天安数码城有限公司</w:t>
            </w:r>
          </w:p>
        </w:tc>
        <w:tc>
          <w:tcPr>
            <w:tcW w:w="3833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南海区电子商务产业园区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672F9"/>
    <w:rsid w:val="4C5A1220"/>
    <w:rsid w:val="7CE672F9"/>
    <w:rsid w:val="7DBC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2023-09-26T09:39:00Z</dcterms:created>
  <dc:creator>妮可妮妮</dc:creator>
  <cp:lastModifiedBy>陈晓碧</cp:lastModifiedBy>
  <dcterms:modified xsi:type="dcterms:W3CDTF">2023-09-27T08:26:04Z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F63E19ABA13A4157B87E7E193DB54164</vt:lpwstr>
  </property>
</Properties>
</file>