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color w:val="000000"/>
        </w:rPr>
      </w:pPr>
      <w:r>
        <w:rPr>
          <w:rFonts w:hint="eastAsia" w:ascii="黑体" w:hAnsi="黑体" w:eastAsia="黑体"/>
          <w:color w:val="000000"/>
          <w:sz w:val="32"/>
          <w:szCs w:val="32"/>
        </w:rPr>
        <w:t>附件</w:t>
      </w:r>
      <w:r>
        <w:rPr>
          <w:rFonts w:eastAsia="黑体"/>
          <w:color w:val="000000"/>
          <w:sz w:val="32"/>
          <w:szCs w:val="32"/>
        </w:rPr>
        <w:t>1</w:t>
      </w:r>
    </w:p>
    <w:p>
      <w:pPr>
        <w:spacing w:line="240" w:lineRule="exact"/>
        <w:rPr>
          <w:rFonts w:eastAsia="黑体"/>
          <w:color w:val="000000"/>
        </w:rPr>
      </w:pPr>
      <w:r>
        <w:rPr>
          <w:rFonts w:eastAsia="黑体"/>
          <w:color w:val="000000"/>
        </w:rPr>
        <w:t xml:space="preserve"> </w:t>
      </w:r>
    </w:p>
    <w:p>
      <w:pPr>
        <w:spacing w:line="640" w:lineRule="exact"/>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p>
    <w:p>
      <w:pPr>
        <w:spacing w:line="640" w:lineRule="exact"/>
        <w:jc w:val="center"/>
        <w:rPr>
          <w:rFonts w:eastAsia="方正小标宋简体"/>
          <w:color w:val="000000"/>
          <w:sz w:val="36"/>
          <w:szCs w:val="36"/>
        </w:rPr>
      </w:pPr>
      <w:r>
        <w:rPr>
          <w:rFonts w:hint="eastAsia" w:ascii="方正小标宋简体" w:eastAsia="方正小标宋简体"/>
          <w:color w:val="000000"/>
          <w:sz w:val="36"/>
          <w:szCs w:val="36"/>
        </w:rPr>
        <w:t>（市场监督管理</w:t>
      </w:r>
      <w:r>
        <w:rPr>
          <w:rFonts w:eastAsia="方正小标宋简体"/>
          <w:color w:val="000000"/>
          <w:sz w:val="36"/>
          <w:szCs w:val="36"/>
        </w:rPr>
        <w:t>-</w:t>
      </w:r>
      <w:r>
        <w:rPr>
          <w:rFonts w:hint="eastAsia" w:ascii="方正小标宋简体" w:eastAsia="方正小标宋简体"/>
          <w:color w:val="000000"/>
          <w:sz w:val="36"/>
          <w:szCs w:val="36"/>
        </w:rPr>
        <w:t>质量基础强化）明细分配表</w:t>
      </w:r>
    </w:p>
    <w:p>
      <w:pPr>
        <w:spacing w:line="640" w:lineRule="exact"/>
        <w:jc w:val="center"/>
        <w:rPr>
          <w:rFonts w:eastAsia="方正小标宋简体"/>
          <w:color w:val="000000"/>
          <w:sz w:val="36"/>
          <w:szCs w:val="36"/>
        </w:rPr>
      </w:pPr>
      <w:r>
        <w:rPr>
          <w:rFonts w:eastAsia="方正小标宋简体"/>
          <w:color w:val="000000"/>
          <w:sz w:val="36"/>
          <w:szCs w:val="36"/>
        </w:rPr>
        <w:t xml:space="preserve"> </w:t>
      </w:r>
    </w:p>
    <w:p>
      <w:pPr>
        <w:spacing w:line="440" w:lineRule="exact"/>
        <w:jc w:val="right"/>
        <w:rPr>
          <w:rFonts w:eastAsia="宋体"/>
          <w:color w:val="000000"/>
          <w:sz w:val="28"/>
          <w:szCs w:val="28"/>
        </w:rPr>
      </w:pPr>
      <w:r>
        <w:rPr>
          <w:color w:val="000000"/>
          <w:sz w:val="28"/>
          <w:szCs w:val="28"/>
        </w:rPr>
        <w:t xml:space="preserve">  </w:t>
      </w:r>
      <w:r>
        <w:rPr>
          <w:rFonts w:hint="eastAsia" w:ascii="仿宋_GB2312"/>
          <w:color w:val="000000"/>
          <w:sz w:val="28"/>
          <w:szCs w:val="28"/>
        </w:rPr>
        <w:t>单位：万元</w:t>
      </w:r>
    </w:p>
    <w:p>
      <w:pPr>
        <w:rPr>
          <w:rFonts w:ascii="Calibri" w:hAnsi="Calibri"/>
          <w:sz w:val="21"/>
          <w:szCs w:val="21"/>
        </w:rPr>
      </w:pPr>
      <w:r>
        <w:t xml:space="preserve"> </w:t>
      </w:r>
    </w:p>
    <w:tbl>
      <w:tblPr>
        <w:tblStyle w:val="4"/>
        <w:tblW w:w="8336" w:type="dxa"/>
        <w:tblInd w:w="93" w:type="dxa"/>
        <w:tblLayout w:type="fixed"/>
        <w:tblCellMar>
          <w:top w:w="0" w:type="dxa"/>
          <w:left w:w="0" w:type="dxa"/>
          <w:bottom w:w="0" w:type="dxa"/>
          <w:right w:w="0" w:type="dxa"/>
        </w:tblCellMar>
      </w:tblPr>
      <w:tblGrid>
        <w:gridCol w:w="382"/>
        <w:gridCol w:w="1018"/>
        <w:gridCol w:w="1793"/>
        <w:gridCol w:w="2079"/>
        <w:gridCol w:w="858"/>
        <w:gridCol w:w="725"/>
        <w:gridCol w:w="780"/>
        <w:gridCol w:w="701"/>
      </w:tblGrid>
      <w:tr>
        <w:tblPrEx>
          <w:tblCellMar>
            <w:top w:w="0" w:type="dxa"/>
            <w:left w:w="0" w:type="dxa"/>
            <w:bottom w:w="0" w:type="dxa"/>
            <w:right w:w="0" w:type="dxa"/>
          </w:tblCellMar>
        </w:tblPrEx>
        <w:trPr>
          <w:trHeight w:val="559" w:hRule="atLeast"/>
          <w:tblHeader/>
        </w:trPr>
        <w:tc>
          <w:tcPr>
            <w:tcW w:w="38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序号</w:t>
            </w:r>
          </w:p>
        </w:tc>
        <w:tc>
          <w:tcPr>
            <w:tcW w:w="1018"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预算代码</w:t>
            </w:r>
          </w:p>
        </w:tc>
        <w:tc>
          <w:tcPr>
            <w:tcW w:w="1793"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地区（单位）</w:t>
            </w:r>
          </w:p>
        </w:tc>
        <w:tc>
          <w:tcPr>
            <w:tcW w:w="2079"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项目名称</w:t>
            </w:r>
          </w:p>
        </w:tc>
        <w:tc>
          <w:tcPr>
            <w:tcW w:w="858"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资金额</w:t>
            </w:r>
            <w:r>
              <w:rPr>
                <w:rFonts w:hint="eastAsia" w:ascii="仿宋" w:hAnsi="仿宋" w:eastAsia="仿宋"/>
                <w:b/>
                <w:bCs/>
                <w:color w:val="000000"/>
                <w:kern w:val="0"/>
                <w:sz w:val="20"/>
                <w:szCs w:val="20"/>
              </w:rPr>
              <w:br w:type="textWrapping"/>
            </w:r>
            <w:r>
              <w:rPr>
                <w:rFonts w:hint="eastAsia" w:ascii="仿宋" w:hAnsi="仿宋" w:eastAsia="仿宋"/>
                <w:b/>
                <w:bCs/>
                <w:color w:val="000000"/>
                <w:kern w:val="0"/>
                <w:sz w:val="20"/>
                <w:szCs w:val="20"/>
              </w:rPr>
              <w:t>(万元）</w:t>
            </w:r>
          </w:p>
        </w:tc>
        <w:tc>
          <w:tcPr>
            <w:tcW w:w="2206"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质量基础强化</w:t>
            </w:r>
          </w:p>
        </w:tc>
      </w:tr>
      <w:tr>
        <w:tblPrEx>
          <w:tblCellMar>
            <w:top w:w="0" w:type="dxa"/>
            <w:left w:w="0" w:type="dxa"/>
            <w:bottom w:w="0" w:type="dxa"/>
            <w:right w:w="0" w:type="dxa"/>
          </w:tblCellMar>
        </w:tblPrEx>
        <w:trPr>
          <w:trHeight w:val="1000" w:hRule="atLeast"/>
          <w:tblHeader/>
        </w:trPr>
        <w:tc>
          <w:tcPr>
            <w:tcW w:w="31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1018"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1793"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2079"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858"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0"/>
                <w:szCs w:val="20"/>
              </w:rPr>
            </w:pPr>
          </w:p>
        </w:tc>
        <w:tc>
          <w:tcPr>
            <w:tcW w:w="7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省计量测试中心</w:t>
            </w:r>
          </w:p>
        </w:tc>
        <w:tc>
          <w:tcPr>
            <w:tcW w:w="78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质检机构能力提升</w:t>
            </w:r>
          </w:p>
        </w:tc>
        <w:tc>
          <w:tcPr>
            <w:tcW w:w="70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标准化战略</w:t>
            </w:r>
          </w:p>
        </w:tc>
      </w:tr>
      <w:tr>
        <w:tblPrEx>
          <w:tblCellMar>
            <w:top w:w="0" w:type="dxa"/>
            <w:left w:w="0" w:type="dxa"/>
            <w:bottom w:w="0" w:type="dxa"/>
            <w:right w:w="0" w:type="dxa"/>
          </w:tblCellMar>
        </w:tblPrEx>
        <w:trPr>
          <w:trHeight w:val="570" w:hRule="atLeast"/>
        </w:trPr>
        <w:tc>
          <w:tcPr>
            <w:tcW w:w="3193"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合计</w:t>
            </w:r>
          </w:p>
        </w:tc>
        <w:tc>
          <w:tcPr>
            <w:tcW w:w="207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6629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500 </w:t>
            </w:r>
          </w:p>
        </w:tc>
        <w:tc>
          <w:tcPr>
            <w:tcW w:w="78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1700 </w:t>
            </w:r>
          </w:p>
        </w:tc>
        <w:tc>
          <w:tcPr>
            <w:tcW w:w="701"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4429 </w:t>
            </w:r>
          </w:p>
        </w:tc>
      </w:tr>
      <w:tr>
        <w:tblPrEx>
          <w:tblCellMar>
            <w:top w:w="0" w:type="dxa"/>
            <w:left w:w="0" w:type="dxa"/>
            <w:bottom w:w="0" w:type="dxa"/>
            <w:right w:w="0" w:type="dxa"/>
          </w:tblCellMar>
        </w:tblPrEx>
        <w:trPr>
          <w:trHeight w:val="570"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101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1793"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仿宋" w:hAnsi="仿宋" w:eastAsia="仿宋"/>
                <w:b/>
                <w:bCs/>
                <w:color w:val="000000"/>
                <w:sz w:val="24"/>
              </w:rPr>
            </w:pPr>
            <w:r>
              <w:rPr>
                <w:rFonts w:hint="eastAsia" w:ascii="仿宋" w:hAnsi="仿宋" w:eastAsia="仿宋"/>
                <w:b/>
                <w:bCs/>
                <w:color w:val="000000"/>
                <w:kern w:val="0"/>
                <w:sz w:val="24"/>
              </w:rPr>
              <w:t>省级小计</w:t>
            </w:r>
          </w:p>
        </w:tc>
        <w:tc>
          <w:tcPr>
            <w:tcW w:w="207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b/>
                <w:bCs/>
                <w:color w:val="000000"/>
                <w:sz w:val="24"/>
              </w:rPr>
            </w:pP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6629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500 </w:t>
            </w:r>
          </w:p>
        </w:tc>
        <w:tc>
          <w:tcPr>
            <w:tcW w:w="78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1700 </w:t>
            </w:r>
          </w:p>
        </w:tc>
        <w:tc>
          <w:tcPr>
            <w:tcW w:w="701" w:type="dxa"/>
            <w:tcBorders>
              <w:top w:val="single" w:color="000000" w:sz="4" w:space="0"/>
              <w:left w:val="nil"/>
              <w:bottom w:val="nil"/>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4429 </w:t>
            </w:r>
          </w:p>
        </w:tc>
      </w:tr>
      <w:tr>
        <w:tblPrEx>
          <w:tblCellMar>
            <w:top w:w="0" w:type="dxa"/>
            <w:left w:w="0" w:type="dxa"/>
            <w:bottom w:w="0" w:type="dxa"/>
            <w:right w:w="0" w:type="dxa"/>
          </w:tblCellMar>
        </w:tblPrEx>
        <w:trPr>
          <w:trHeight w:val="1540"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1</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广东省市场监督管理局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实施标准化战略项目资助2600万元、湾区标准专利奖750万元、完全标准宣传与组织运用130万元、湾区标准创新发展工作60万元、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3540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3540 </w:t>
            </w:r>
          </w:p>
        </w:tc>
      </w:tr>
      <w:tr>
        <w:tblPrEx>
          <w:tblCellMar>
            <w:top w:w="0" w:type="dxa"/>
            <w:left w:w="0" w:type="dxa"/>
            <w:bottom w:w="0" w:type="dxa"/>
            <w:right w:w="0" w:type="dxa"/>
          </w:tblCellMar>
        </w:tblPrEx>
        <w:trPr>
          <w:trHeight w:val="840"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2</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118003001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广东省计量科学研究院</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广东省超高清电视网络产业计量测试中心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1520"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3</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118004</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广东省标准化研究院</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地方标准化技术支撑212.5万元、标准化公共服务212.5万元、国际人才培养204万、中心建设与湾区标准审查260万元、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889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889 </w:t>
            </w: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4</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118006</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广东产品质量监督检验研究院</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广东省质量监督纺织服装服饰产品检验站（清远）能力提升项目</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300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300 </w:t>
            </w: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5</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118008021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广东省特种设备检测研究院云浮检测院</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广东省质量监督石材起重设备检验站（云浮）能力提升项目</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500 </w:t>
            </w: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6</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118012001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珠海市质量计量监督检测所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广东省海洋工程装备产业计量测试中心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7</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118023001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惠州市质量计量监督检测所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广东省石油制品产业计量测试中心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940"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8</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118027001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汕尾市质量计量监督检测所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广东省医疗器械产业计量测试中心、海洋食品检验站（汕尾）能力提升项目</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550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500 </w:t>
            </w: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9</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118030</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中山市质量计量监督检测所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广东省制药产业计量测试中心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10</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118036001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湛江市质量计量监督检测所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广东省质量监督家用电热蒸煮器具检验站（湛江）能力提升项目</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200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200 </w:t>
            </w: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11</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118039001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肇庆市质量计量监督检测所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广东省汽车配件产业计量测试中心</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50 </w:t>
            </w: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01"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r>
        <w:tblPrEx>
          <w:tblCellMar>
            <w:top w:w="0" w:type="dxa"/>
            <w:left w:w="0" w:type="dxa"/>
            <w:bottom w:w="0" w:type="dxa"/>
            <w:right w:w="0" w:type="dxa"/>
          </w:tblCellMar>
        </w:tblPrEx>
        <w:trPr>
          <w:trHeight w:val="645" w:hRule="atLeast"/>
        </w:trPr>
        <w:tc>
          <w:tcPr>
            <w:tcW w:w="3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12</w:t>
            </w:r>
          </w:p>
        </w:tc>
        <w:tc>
          <w:tcPr>
            <w:tcW w:w="10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118043001</w:t>
            </w:r>
          </w:p>
        </w:tc>
        <w:tc>
          <w:tcPr>
            <w:tcW w:w="179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方正小标宋简体" w:hAnsi="Calibri" w:eastAsia="方正小标宋简体"/>
                <w:color w:val="000000"/>
                <w:sz w:val="22"/>
                <w:szCs w:val="22"/>
              </w:rPr>
            </w:pPr>
            <w:r>
              <w:rPr>
                <w:rFonts w:hint="eastAsia" w:ascii="方正小标宋简体" w:eastAsia="方正小标宋简体"/>
                <w:color w:val="000000"/>
                <w:kern w:val="0"/>
                <w:sz w:val="22"/>
                <w:szCs w:val="22"/>
              </w:rPr>
              <w:t>潮州市质量计量监督检测所</w:t>
            </w:r>
          </w:p>
        </w:tc>
        <w:tc>
          <w:tcPr>
            <w:tcW w:w="207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广东省质量监督食品检验站（潮州）能力提升项目</w:t>
            </w:r>
          </w:p>
        </w:tc>
        <w:tc>
          <w:tcPr>
            <w:tcW w:w="85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200 </w:t>
            </w:r>
          </w:p>
        </w:tc>
        <w:tc>
          <w:tcPr>
            <w:tcW w:w="72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c>
          <w:tcPr>
            <w:tcW w:w="780"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200 </w:t>
            </w:r>
          </w:p>
        </w:tc>
        <w:tc>
          <w:tcPr>
            <w:tcW w:w="70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0"/>
                <w:szCs w:val="20"/>
              </w:rPr>
            </w:pPr>
          </w:p>
        </w:tc>
      </w:tr>
    </w:tbl>
    <w:p>
      <w:pPr>
        <w:pStyle w:val="2"/>
        <w:ind w:left="0" w:leftChars="0" w:firstLine="640" w:firstLineChars="200"/>
        <w:rPr>
          <w:rFonts w:ascii="Times New Roman" w:hAnsi="Times New Roman" w:eastAsia="黑体" w:cs="黑体"/>
          <w:color w:val="000000"/>
          <w:sz w:val="32"/>
          <w:szCs w:val="32"/>
        </w:rPr>
      </w:pPr>
      <w:r>
        <w:rPr>
          <w:rFonts w:ascii="Times New Roman" w:hAnsi="Times New Roman" w:eastAsia="黑体" w:cs="黑体"/>
          <w:color w:val="000000"/>
          <w:sz w:val="32"/>
          <w:szCs w:val="32"/>
        </w:rPr>
        <w:t xml:space="preserve"> </w:t>
      </w:r>
    </w:p>
    <w:p>
      <w:pPr>
        <w:rPr>
          <w:rFonts w:cs="仿宋_GB2312"/>
          <w:color w:val="000000"/>
          <w:sz w:val="32"/>
          <w:szCs w:val="32"/>
        </w:rPr>
      </w:pPr>
      <w:r>
        <w:rPr>
          <w:rFonts w:cs="仿宋_GB2312"/>
          <w:color w:val="000000"/>
          <w:sz w:val="32"/>
          <w:szCs w:val="32"/>
        </w:rPr>
        <w:br w:type="page"/>
      </w:r>
    </w:p>
    <w:p>
      <w:pPr>
        <w:rPr>
          <w:rFonts w:eastAsia="黑体"/>
          <w:color w:val="000000"/>
          <w:sz w:val="21"/>
          <w:szCs w:val="21"/>
        </w:rPr>
      </w:pPr>
      <w:r>
        <w:rPr>
          <w:rFonts w:hint="eastAsia" w:ascii="黑体" w:hAnsi="黑体" w:eastAsia="黑体"/>
          <w:color w:val="000000"/>
          <w:sz w:val="32"/>
          <w:szCs w:val="32"/>
        </w:rPr>
        <w:t>附件</w:t>
      </w:r>
      <w:r>
        <w:rPr>
          <w:rFonts w:eastAsia="黑体"/>
          <w:color w:val="000000"/>
          <w:sz w:val="32"/>
          <w:szCs w:val="32"/>
        </w:rPr>
        <w:t>2</w:t>
      </w:r>
    </w:p>
    <w:p>
      <w:pPr>
        <w:rPr>
          <w:rFonts w:eastAsia="黑体"/>
          <w:color w:val="000000"/>
        </w:rPr>
      </w:pPr>
      <w:r>
        <w:rPr>
          <w:rFonts w:eastAsia="黑体"/>
          <w:color w:val="000000"/>
        </w:rPr>
        <w:t xml:space="preserve"> </w:t>
      </w:r>
    </w:p>
    <w:p>
      <w:pPr>
        <w:spacing w:line="640" w:lineRule="exact"/>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年促进经济高质量发展专项资金（市场监督管理</w:t>
      </w:r>
      <w:r>
        <w:rPr>
          <w:rFonts w:eastAsia="方正小标宋简体"/>
          <w:color w:val="000000"/>
          <w:sz w:val="36"/>
          <w:szCs w:val="36"/>
        </w:rPr>
        <w:t>-</w:t>
      </w:r>
      <w:r>
        <w:rPr>
          <w:rFonts w:hint="eastAsia" w:ascii="方正小标宋简体" w:eastAsia="方正小标宋简体"/>
          <w:color w:val="000000"/>
          <w:sz w:val="36"/>
          <w:szCs w:val="36"/>
        </w:rPr>
        <w:t>食品安全监管）省本级资金明细分配表</w:t>
      </w:r>
    </w:p>
    <w:p>
      <w:pPr>
        <w:spacing w:line="440" w:lineRule="exact"/>
        <w:jc w:val="center"/>
        <w:rPr>
          <w:rFonts w:eastAsia="方正小标宋简体"/>
          <w:color w:val="000000"/>
          <w:sz w:val="36"/>
          <w:szCs w:val="36"/>
        </w:rPr>
      </w:pPr>
      <w:r>
        <w:rPr>
          <w:rFonts w:eastAsia="方正小标宋简体"/>
          <w:color w:val="000000"/>
          <w:sz w:val="36"/>
          <w:szCs w:val="36"/>
        </w:rPr>
        <w:t xml:space="preserve"> </w:t>
      </w:r>
    </w:p>
    <w:p>
      <w:pPr>
        <w:spacing w:line="320" w:lineRule="exact"/>
        <w:jc w:val="right"/>
        <w:rPr>
          <w:color w:val="000000"/>
          <w:sz w:val="24"/>
        </w:rPr>
      </w:pPr>
      <w:r>
        <w:rPr>
          <w:rFonts w:hint="eastAsia" w:ascii="仿宋_GB2312"/>
          <w:color w:val="000000"/>
          <w:sz w:val="24"/>
        </w:rPr>
        <w:t>单位：万元</w:t>
      </w:r>
    </w:p>
    <w:tbl>
      <w:tblPr>
        <w:tblStyle w:val="4"/>
        <w:tblW w:w="8336" w:type="dxa"/>
        <w:tblInd w:w="93" w:type="dxa"/>
        <w:tblLayout w:type="fixed"/>
        <w:tblCellMar>
          <w:top w:w="0" w:type="dxa"/>
          <w:left w:w="0" w:type="dxa"/>
          <w:bottom w:w="0" w:type="dxa"/>
          <w:right w:w="0" w:type="dxa"/>
        </w:tblCellMar>
      </w:tblPr>
      <w:tblGrid>
        <w:gridCol w:w="665"/>
        <w:gridCol w:w="1180"/>
        <w:gridCol w:w="2361"/>
        <w:gridCol w:w="3088"/>
        <w:gridCol w:w="1042"/>
      </w:tblGrid>
      <w:tr>
        <w:trPr>
          <w:trHeight w:val="559" w:hRule="atLeast"/>
          <w:tblHeader/>
        </w:trPr>
        <w:tc>
          <w:tcPr>
            <w:tcW w:w="66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序号</w:t>
            </w:r>
          </w:p>
        </w:tc>
        <w:tc>
          <w:tcPr>
            <w:tcW w:w="1180"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预算代码</w:t>
            </w:r>
          </w:p>
        </w:tc>
        <w:tc>
          <w:tcPr>
            <w:tcW w:w="2361"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地区（单位）</w:t>
            </w:r>
          </w:p>
        </w:tc>
        <w:tc>
          <w:tcPr>
            <w:tcW w:w="3088" w:type="dxa"/>
            <w:vMerge w:val="restart"/>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项目名称</w:t>
            </w:r>
          </w:p>
        </w:tc>
        <w:tc>
          <w:tcPr>
            <w:tcW w:w="1042"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金额</w:t>
            </w:r>
            <w:r>
              <w:rPr>
                <w:rFonts w:hint="eastAsia" w:ascii="仿宋" w:hAnsi="仿宋" w:eastAsia="仿宋"/>
                <w:b/>
                <w:bCs/>
                <w:color w:val="000000"/>
                <w:kern w:val="0"/>
                <w:sz w:val="20"/>
                <w:szCs w:val="20"/>
              </w:rPr>
              <w:br w:type="textWrapping"/>
            </w:r>
            <w:r>
              <w:rPr>
                <w:rFonts w:hint="eastAsia" w:ascii="仿宋" w:hAnsi="仿宋" w:eastAsia="仿宋"/>
                <w:b/>
                <w:bCs/>
                <w:color w:val="000000"/>
                <w:kern w:val="0"/>
                <w:sz w:val="20"/>
                <w:szCs w:val="20"/>
              </w:rPr>
              <w:t>(万元）</w:t>
            </w:r>
          </w:p>
        </w:tc>
      </w:tr>
      <w:tr>
        <w:tblPrEx>
          <w:tblCellMar>
            <w:top w:w="0" w:type="dxa"/>
            <w:left w:w="0" w:type="dxa"/>
            <w:bottom w:w="0" w:type="dxa"/>
            <w:right w:w="0" w:type="dxa"/>
          </w:tblCellMar>
        </w:tblPrEx>
        <w:trPr>
          <w:trHeight w:val="1140" w:hRule="atLeast"/>
          <w:tblHeader/>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1180"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2361"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3088"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4"/>
              </w:rPr>
            </w:pPr>
          </w:p>
        </w:tc>
        <w:tc>
          <w:tcPr>
            <w:tcW w:w="1042" w:type="dxa"/>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b/>
                <w:bCs/>
                <w:color w:val="000000"/>
                <w:sz w:val="20"/>
                <w:szCs w:val="20"/>
              </w:rPr>
            </w:pPr>
          </w:p>
        </w:tc>
      </w:tr>
      <w:tr>
        <w:tblPrEx>
          <w:tblCellMar>
            <w:top w:w="0" w:type="dxa"/>
            <w:left w:w="0" w:type="dxa"/>
            <w:bottom w:w="0" w:type="dxa"/>
            <w:right w:w="0" w:type="dxa"/>
          </w:tblCellMar>
        </w:tblPrEx>
        <w:trPr>
          <w:trHeight w:val="555"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一</w:t>
            </w:r>
          </w:p>
        </w:tc>
        <w:tc>
          <w:tcPr>
            <w:tcW w:w="118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2361"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仿宋" w:hAnsi="仿宋" w:eastAsia="仿宋"/>
                <w:b/>
                <w:bCs/>
                <w:color w:val="000000"/>
                <w:sz w:val="24"/>
              </w:rPr>
            </w:pPr>
            <w:r>
              <w:rPr>
                <w:rFonts w:hint="eastAsia" w:ascii="仿宋" w:hAnsi="仿宋" w:eastAsia="仿宋"/>
                <w:b/>
                <w:bCs/>
                <w:color w:val="000000"/>
                <w:kern w:val="0"/>
                <w:sz w:val="24"/>
              </w:rPr>
              <w:t>省级小计</w:t>
            </w:r>
          </w:p>
        </w:tc>
        <w:tc>
          <w:tcPr>
            <w:tcW w:w="308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b/>
                <w:bCs/>
                <w:color w:val="000000"/>
                <w:sz w:val="24"/>
              </w:rPr>
            </w:pP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13720.00 </w:t>
            </w:r>
          </w:p>
        </w:tc>
      </w:tr>
      <w:tr>
        <w:trPr>
          <w:trHeight w:val="555"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w:t>
            </w:r>
          </w:p>
        </w:tc>
        <w:tc>
          <w:tcPr>
            <w:tcW w:w="1180"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118001</w:t>
            </w:r>
          </w:p>
        </w:tc>
        <w:tc>
          <w:tcPr>
            <w:tcW w:w="23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0"/>
                <w:szCs w:val="20"/>
              </w:rPr>
            </w:pPr>
            <w:r>
              <w:rPr>
                <w:rFonts w:hint="eastAsia" w:ascii="宋体" w:hAnsi="宋体"/>
                <w:color w:val="000000"/>
                <w:kern w:val="0"/>
                <w:sz w:val="20"/>
                <w:szCs w:val="20"/>
              </w:rPr>
              <w:t>广东省市场监管局</w:t>
            </w:r>
          </w:p>
        </w:tc>
        <w:tc>
          <w:tcPr>
            <w:tcW w:w="308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食品抽检及监管</w:t>
            </w: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5576.70 </w:t>
            </w:r>
          </w:p>
        </w:tc>
      </w:tr>
      <w:tr>
        <w:tblPrEx>
          <w:tblCellMar>
            <w:top w:w="0" w:type="dxa"/>
            <w:left w:w="0" w:type="dxa"/>
            <w:bottom w:w="0" w:type="dxa"/>
            <w:right w:w="0" w:type="dxa"/>
          </w:tblCellMar>
        </w:tblPrEx>
        <w:trPr>
          <w:trHeight w:val="780"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w:t>
            </w:r>
          </w:p>
        </w:tc>
        <w:tc>
          <w:tcPr>
            <w:tcW w:w="1180"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118006</w:t>
            </w:r>
          </w:p>
        </w:tc>
        <w:tc>
          <w:tcPr>
            <w:tcW w:w="23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0"/>
                <w:szCs w:val="20"/>
              </w:rPr>
            </w:pPr>
            <w:r>
              <w:rPr>
                <w:rFonts w:hint="eastAsia" w:ascii="宋体" w:hAnsi="宋体"/>
                <w:color w:val="000000"/>
                <w:kern w:val="0"/>
                <w:sz w:val="20"/>
                <w:szCs w:val="20"/>
              </w:rPr>
              <w:t>广东产品质量监督检验研究院</w:t>
            </w:r>
          </w:p>
        </w:tc>
        <w:tc>
          <w:tcPr>
            <w:tcW w:w="308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食品相关产品抽检及监管、省级食品抽检、省级食品安全评价性抽检、食品相关产品抽检与风险监测</w:t>
            </w: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3685.00 </w:t>
            </w:r>
          </w:p>
        </w:tc>
      </w:tr>
      <w:tr>
        <w:tblPrEx>
          <w:tblCellMar>
            <w:top w:w="0" w:type="dxa"/>
            <w:left w:w="0" w:type="dxa"/>
            <w:bottom w:w="0" w:type="dxa"/>
            <w:right w:w="0" w:type="dxa"/>
          </w:tblCellMar>
        </w:tblPrEx>
        <w:trPr>
          <w:trHeight w:val="1482"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3</w:t>
            </w:r>
          </w:p>
        </w:tc>
        <w:tc>
          <w:tcPr>
            <w:tcW w:w="1180"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118056</w:t>
            </w:r>
          </w:p>
        </w:tc>
        <w:tc>
          <w:tcPr>
            <w:tcW w:w="23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0"/>
                <w:szCs w:val="20"/>
              </w:rPr>
            </w:pPr>
            <w:r>
              <w:rPr>
                <w:rFonts w:hint="eastAsia" w:ascii="宋体" w:hAnsi="宋体"/>
                <w:color w:val="000000"/>
                <w:kern w:val="0"/>
                <w:sz w:val="20"/>
                <w:szCs w:val="20"/>
              </w:rPr>
              <w:t>广东省食品检验所（广东省酒类检测中心）</w:t>
            </w:r>
          </w:p>
        </w:tc>
        <w:tc>
          <w:tcPr>
            <w:tcW w:w="308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跨区域跨部门协作、特殊食品生产企业质量管理风险调查及能力提升、省级食品抽检、省级食品安全评价性抽检、食品经营环节风险监测、特殊食品风险监测、食品风险监测和风险交流、食品生产环节应急抽检</w:t>
            </w: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4409.00 </w:t>
            </w:r>
          </w:p>
        </w:tc>
      </w:tr>
      <w:tr>
        <w:tblPrEx>
          <w:tblCellMar>
            <w:top w:w="0" w:type="dxa"/>
            <w:left w:w="0" w:type="dxa"/>
            <w:bottom w:w="0" w:type="dxa"/>
            <w:right w:w="0" w:type="dxa"/>
          </w:tblCellMar>
        </w:tblPrEx>
        <w:trPr>
          <w:trHeight w:val="540"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w:t>
            </w:r>
          </w:p>
        </w:tc>
        <w:tc>
          <w:tcPr>
            <w:tcW w:w="1180"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118003</w:t>
            </w:r>
          </w:p>
        </w:tc>
        <w:tc>
          <w:tcPr>
            <w:tcW w:w="23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0"/>
                <w:szCs w:val="20"/>
              </w:rPr>
            </w:pPr>
            <w:r>
              <w:rPr>
                <w:rFonts w:hint="eastAsia" w:ascii="宋体" w:hAnsi="宋体"/>
                <w:color w:val="000000"/>
                <w:kern w:val="0"/>
                <w:sz w:val="20"/>
                <w:szCs w:val="20"/>
              </w:rPr>
              <w:t>广东省计量科学研究院</w:t>
            </w:r>
          </w:p>
        </w:tc>
        <w:tc>
          <w:tcPr>
            <w:tcW w:w="308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婴配乳粉可视化系统配套环境采集器检定/校准项目</w:t>
            </w: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2.20 </w:t>
            </w:r>
          </w:p>
        </w:tc>
      </w:tr>
      <w:tr>
        <w:tblPrEx>
          <w:tblCellMar>
            <w:top w:w="0" w:type="dxa"/>
            <w:left w:w="0" w:type="dxa"/>
            <w:bottom w:w="0" w:type="dxa"/>
            <w:right w:w="0" w:type="dxa"/>
          </w:tblCellMar>
        </w:tblPrEx>
        <w:trPr>
          <w:trHeight w:val="540" w:hRule="atLeast"/>
        </w:trPr>
        <w:tc>
          <w:tcPr>
            <w:tcW w:w="6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5</w:t>
            </w:r>
          </w:p>
        </w:tc>
        <w:tc>
          <w:tcPr>
            <w:tcW w:w="1180"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118043001</w:t>
            </w:r>
          </w:p>
        </w:tc>
        <w:tc>
          <w:tcPr>
            <w:tcW w:w="23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潮州市质量计量监督检测所</w:t>
            </w:r>
          </w:p>
        </w:tc>
        <w:tc>
          <w:tcPr>
            <w:tcW w:w="308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婴配乳粉可视化系统配套环境采集器检定/校准项目</w:t>
            </w:r>
          </w:p>
        </w:tc>
        <w:tc>
          <w:tcPr>
            <w:tcW w:w="104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47.10 </w:t>
            </w:r>
          </w:p>
        </w:tc>
      </w:tr>
    </w:tbl>
    <w:p>
      <w:pPr>
        <w:pStyle w:val="2"/>
        <w:ind w:left="600"/>
      </w:pPr>
      <w:r>
        <w:t xml:space="preserve"> </w:t>
      </w:r>
    </w:p>
    <w:p>
      <w:r>
        <w:br w:type="page"/>
      </w:r>
    </w:p>
    <w:p>
      <w:pPr>
        <w:rPr>
          <w:rFonts w:eastAsia="黑体"/>
          <w:color w:val="000000"/>
        </w:rPr>
      </w:pPr>
      <w:r>
        <w:rPr>
          <w:rFonts w:hint="eastAsia" w:ascii="黑体" w:hAnsi="黑体" w:eastAsia="黑体"/>
          <w:color w:val="000000"/>
          <w:sz w:val="32"/>
          <w:szCs w:val="32"/>
        </w:rPr>
        <w:t>附件</w:t>
      </w:r>
      <w:r>
        <w:rPr>
          <w:rFonts w:eastAsia="黑体"/>
          <w:color w:val="000000"/>
          <w:sz w:val="32"/>
          <w:szCs w:val="32"/>
        </w:rPr>
        <w:t>2</w:t>
      </w:r>
    </w:p>
    <w:p>
      <w:pPr>
        <w:spacing w:line="360" w:lineRule="exact"/>
        <w:rPr>
          <w:rFonts w:eastAsia="黑体"/>
          <w:color w:val="000000"/>
        </w:rPr>
      </w:pPr>
      <w:r>
        <w:rPr>
          <w:rFonts w:eastAsia="黑体"/>
          <w:color w:val="000000"/>
        </w:rPr>
        <w:t xml:space="preserve"> </w:t>
      </w:r>
    </w:p>
    <w:p>
      <w:pPr>
        <w:spacing w:line="640" w:lineRule="exact"/>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年促进经济高质量发展专项资金（市场监督管理</w:t>
      </w:r>
      <w:r>
        <w:rPr>
          <w:rFonts w:eastAsia="方正小标宋简体"/>
          <w:color w:val="000000"/>
          <w:sz w:val="36"/>
          <w:szCs w:val="36"/>
        </w:rPr>
        <w:t>-</w:t>
      </w:r>
      <w:r>
        <w:rPr>
          <w:rFonts w:hint="eastAsia" w:ascii="方正小标宋简体" w:eastAsia="方正小标宋简体"/>
          <w:color w:val="000000"/>
          <w:sz w:val="36"/>
          <w:szCs w:val="36"/>
        </w:rPr>
        <w:t>食品安全监管）转移市县资金明细分配表</w:t>
      </w:r>
    </w:p>
    <w:p>
      <w:pPr>
        <w:spacing w:line="440" w:lineRule="exact"/>
        <w:jc w:val="center"/>
        <w:rPr>
          <w:rFonts w:eastAsia="方正小标宋简体"/>
          <w:color w:val="000000"/>
          <w:sz w:val="36"/>
          <w:szCs w:val="36"/>
        </w:rPr>
      </w:pPr>
      <w:r>
        <w:rPr>
          <w:rFonts w:eastAsia="方正小标宋简体"/>
          <w:color w:val="000000"/>
          <w:sz w:val="36"/>
          <w:szCs w:val="36"/>
        </w:rPr>
        <w:t xml:space="preserve"> </w:t>
      </w:r>
    </w:p>
    <w:p>
      <w:pPr>
        <w:spacing w:line="320" w:lineRule="exact"/>
        <w:jc w:val="right"/>
        <w:rPr>
          <w:color w:val="000000"/>
          <w:sz w:val="24"/>
        </w:rPr>
      </w:pPr>
      <w:r>
        <w:rPr>
          <w:rFonts w:hint="eastAsia" w:ascii="仿宋_GB2312"/>
          <w:color w:val="000000"/>
          <w:sz w:val="24"/>
        </w:rPr>
        <w:t>单位：万元</w:t>
      </w:r>
    </w:p>
    <w:tbl>
      <w:tblPr>
        <w:tblStyle w:val="4"/>
        <w:tblW w:w="8336" w:type="dxa"/>
        <w:tblInd w:w="93" w:type="dxa"/>
        <w:tblLayout w:type="fixed"/>
        <w:tblCellMar>
          <w:top w:w="0" w:type="dxa"/>
          <w:left w:w="0" w:type="dxa"/>
          <w:bottom w:w="0" w:type="dxa"/>
          <w:right w:w="0" w:type="dxa"/>
        </w:tblCellMar>
      </w:tblPr>
      <w:tblGrid>
        <w:gridCol w:w="752"/>
        <w:gridCol w:w="1166"/>
        <w:gridCol w:w="2339"/>
        <w:gridCol w:w="3050"/>
        <w:gridCol w:w="1029"/>
      </w:tblGrid>
      <w:tr>
        <w:tblPrEx>
          <w:tblCellMar>
            <w:top w:w="0" w:type="dxa"/>
            <w:left w:w="0" w:type="dxa"/>
            <w:bottom w:w="0" w:type="dxa"/>
            <w:right w:w="0" w:type="dxa"/>
          </w:tblCellMar>
        </w:tblPrEx>
        <w:trPr>
          <w:trHeight w:val="499" w:hRule="atLeast"/>
          <w:tblHeader/>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kern w:val="0"/>
                <w:sz w:val="24"/>
              </w:rPr>
            </w:pPr>
            <w:r>
              <w:rPr>
                <w:rFonts w:hint="eastAsia" w:ascii="仿宋" w:hAnsi="仿宋" w:eastAsia="仿宋"/>
                <w:b/>
                <w:bCs/>
                <w:color w:val="000000"/>
                <w:kern w:val="0"/>
                <w:sz w:val="24"/>
              </w:rPr>
              <w:t>序号</w:t>
            </w:r>
          </w:p>
        </w:tc>
        <w:tc>
          <w:tcPr>
            <w:tcW w:w="116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预算代码</w:t>
            </w: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kern w:val="0"/>
                <w:sz w:val="24"/>
              </w:rPr>
            </w:pPr>
            <w:r>
              <w:rPr>
                <w:rFonts w:hint="eastAsia" w:ascii="仿宋" w:hAnsi="仿宋" w:eastAsia="仿宋"/>
                <w:b/>
                <w:bCs/>
                <w:color w:val="000000"/>
                <w:kern w:val="0"/>
                <w:sz w:val="24"/>
              </w:rPr>
              <w:t>地区（单位）</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项目名称</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kern w:val="0"/>
                <w:sz w:val="20"/>
                <w:szCs w:val="20"/>
              </w:rPr>
            </w:pPr>
            <w:r>
              <w:rPr>
                <w:rFonts w:hint="eastAsia" w:ascii="仿宋" w:hAnsi="仿宋" w:eastAsia="仿宋"/>
                <w:b/>
                <w:bCs/>
                <w:color w:val="000000"/>
                <w:kern w:val="0"/>
                <w:sz w:val="20"/>
                <w:szCs w:val="20"/>
              </w:rPr>
              <w:t>金额</w:t>
            </w:r>
            <w:r>
              <w:rPr>
                <w:rFonts w:hint="eastAsia" w:ascii="仿宋" w:hAnsi="仿宋" w:eastAsia="仿宋"/>
                <w:b/>
                <w:bCs/>
                <w:color w:val="000000"/>
                <w:kern w:val="0"/>
                <w:sz w:val="20"/>
                <w:szCs w:val="20"/>
              </w:rPr>
              <w:br w:type="textWrapping"/>
            </w:r>
            <w:r>
              <w:rPr>
                <w:rFonts w:hint="eastAsia" w:ascii="仿宋" w:hAnsi="仿宋" w:eastAsia="仿宋"/>
                <w:b/>
                <w:bCs/>
                <w:color w:val="000000"/>
                <w:kern w:val="0"/>
                <w:sz w:val="20"/>
                <w:szCs w:val="20"/>
              </w:rPr>
              <w:t>(万元）</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二</w:t>
            </w:r>
          </w:p>
        </w:tc>
        <w:tc>
          <w:tcPr>
            <w:tcW w:w="116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仿宋" w:hAnsi="仿宋" w:eastAsia="仿宋"/>
                <w:b/>
                <w:bCs/>
                <w:color w:val="000000"/>
                <w:sz w:val="24"/>
              </w:rPr>
            </w:pPr>
            <w:r>
              <w:rPr>
                <w:rFonts w:hint="eastAsia" w:ascii="仿宋" w:hAnsi="仿宋" w:eastAsia="仿宋"/>
                <w:b/>
                <w:bCs/>
                <w:color w:val="000000"/>
                <w:kern w:val="0"/>
                <w:sz w:val="24"/>
              </w:rPr>
              <w:t>地市小计</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b/>
                <w:bCs/>
                <w:color w:val="000000"/>
                <w:sz w:val="24"/>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10468.00 </w:t>
            </w:r>
          </w:p>
        </w:tc>
      </w:tr>
      <w:tr>
        <w:tblPrEx>
          <w:tblCellMar>
            <w:top w:w="0" w:type="dxa"/>
            <w:left w:w="0" w:type="dxa"/>
            <w:bottom w:w="0" w:type="dxa"/>
            <w:right w:w="0" w:type="dxa"/>
          </w:tblCellMar>
        </w:tblPrEx>
        <w:trPr>
          <w:trHeight w:val="600"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（一）</w:t>
            </w:r>
          </w:p>
        </w:tc>
        <w:tc>
          <w:tcPr>
            <w:tcW w:w="1166" w:type="dxa"/>
            <w:tcBorders>
              <w:top w:val="single" w:color="000000" w:sz="4" w:space="0"/>
              <w:left w:val="nil"/>
              <w:bottom w:val="single" w:color="000000" w:sz="4" w:space="0"/>
              <w:right w:val="nil"/>
            </w:tcBorders>
            <w:noWrap/>
            <w:tcMar>
              <w:top w:w="15" w:type="dxa"/>
              <w:left w:w="15" w:type="dxa"/>
              <w:bottom w:w="0" w:type="dxa"/>
              <w:right w:w="15" w:type="dxa"/>
            </w:tcMar>
            <w:vAlign w:val="center"/>
          </w:tcPr>
          <w:p>
            <w:pPr>
              <w:jc w:val="center"/>
              <w:rPr>
                <w:rFonts w:ascii="仿宋" w:hAnsi="仿宋" w:eastAsia="仿宋"/>
                <w:b/>
                <w:bCs/>
                <w:color w:val="000000"/>
                <w:sz w:val="24"/>
              </w:rPr>
            </w:pPr>
          </w:p>
        </w:tc>
        <w:tc>
          <w:tcPr>
            <w:tcW w:w="233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仿宋" w:hAnsi="仿宋" w:eastAsia="仿宋"/>
                <w:b/>
                <w:bCs/>
                <w:color w:val="000000"/>
                <w:sz w:val="24"/>
              </w:rPr>
            </w:pPr>
            <w:r>
              <w:rPr>
                <w:rFonts w:hint="eastAsia" w:ascii="仿宋" w:hAnsi="仿宋" w:eastAsia="仿宋"/>
                <w:b/>
                <w:bCs/>
                <w:color w:val="000000"/>
                <w:kern w:val="0"/>
                <w:sz w:val="24"/>
              </w:rPr>
              <w:t>市县小计</w:t>
            </w:r>
            <w:r>
              <w:rPr>
                <w:rFonts w:hint="eastAsia" w:ascii="仿宋" w:hAnsi="仿宋" w:eastAsia="仿宋"/>
                <w:b/>
                <w:bCs/>
                <w:color w:val="000000"/>
                <w:kern w:val="0"/>
                <w:sz w:val="24"/>
              </w:rPr>
              <w:br w:type="textWrapping"/>
            </w:r>
            <w:r>
              <w:rPr>
                <w:rFonts w:hint="eastAsia" w:ascii="仿宋" w:hAnsi="仿宋" w:eastAsia="仿宋"/>
                <w:b/>
                <w:bCs/>
                <w:color w:val="000000"/>
                <w:kern w:val="0"/>
                <w:sz w:val="24"/>
              </w:rPr>
              <w:t>（不含省直管县）</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b/>
                <w:bCs/>
                <w:color w:val="000000"/>
                <w:sz w:val="24"/>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10248.00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440100000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广州市市场监督管理局</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color w:val="000000"/>
                <w:sz w:val="24"/>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440300000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深圳市市场监督管理局</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仿宋" w:hAnsi="仿宋" w:eastAsia="仿宋"/>
                <w:color w:val="000000"/>
                <w:sz w:val="24"/>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3</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440400000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珠海市市场监督管理局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18"/>
                <w:szCs w:val="18"/>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440500000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汕头市市场监督管理局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1243.00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5</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440600000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佛山市市场监督管理局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6</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440200000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韶关市市场监督管理局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577.00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7</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441600000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河源市市场监督管理局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550.00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8</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441400000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梅州市市场监督管理局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719.00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9</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441300000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惠州市市场监督管理局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266.00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10</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441500000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汕尾市市场监督管理局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540.00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441900000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东莞市市场监督管理局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15.00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12</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442000000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中山市市场监督管理局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0.00 </w:t>
            </w:r>
          </w:p>
        </w:tc>
      </w:tr>
      <w:tr>
        <w:tblPrEx>
          <w:tblCellMar>
            <w:top w:w="0" w:type="dxa"/>
            <w:left w:w="0" w:type="dxa"/>
            <w:bottom w:w="0" w:type="dxa"/>
            <w:right w:w="0" w:type="dxa"/>
          </w:tblCellMar>
        </w:tblPrEx>
        <w:trPr>
          <w:trHeight w:val="540"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13</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440700000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江门市市场监督管理局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134.00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14</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441700000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阳江市市场监督管理局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518.00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15</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440800000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湛江市市场监督管理局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1341.00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16</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440900000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茂名市市场监督管理局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1137.00 </w:t>
            </w:r>
          </w:p>
        </w:tc>
      </w:tr>
      <w:tr>
        <w:tblPrEx>
          <w:tblCellMar>
            <w:top w:w="0" w:type="dxa"/>
            <w:left w:w="0" w:type="dxa"/>
            <w:bottom w:w="0" w:type="dxa"/>
            <w:right w:w="0" w:type="dxa"/>
          </w:tblCellMar>
        </w:tblPrEx>
        <w:trPr>
          <w:trHeight w:val="90"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17</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441200000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肇庆市市场监督管理局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501.00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18</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441800000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清远市市场监督管理局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815.00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19</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445100000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潮州市市场监督管理局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556.00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20</w:t>
            </w:r>
          </w:p>
        </w:tc>
        <w:tc>
          <w:tcPr>
            <w:tcW w:w="1166" w:type="dxa"/>
            <w:tcBorders>
              <w:top w:val="single" w:color="000000" w:sz="4" w:space="0"/>
              <w:left w:val="nil"/>
              <w:bottom w:val="single" w:color="000000" w:sz="4" w:space="0"/>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445200000</w:t>
            </w:r>
          </w:p>
        </w:tc>
        <w:tc>
          <w:tcPr>
            <w:tcW w:w="233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揭阳市市场监督管理局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924.00 </w:t>
            </w:r>
          </w:p>
        </w:tc>
      </w:tr>
      <w:tr>
        <w:tblPrEx>
          <w:tblCellMar>
            <w:top w:w="0" w:type="dxa"/>
            <w:left w:w="0" w:type="dxa"/>
            <w:bottom w:w="0" w:type="dxa"/>
            <w:right w:w="0" w:type="dxa"/>
          </w:tblCellMar>
        </w:tblPrEx>
        <w:trPr>
          <w:trHeight w:val="499" w:hRule="atLeast"/>
        </w:trPr>
        <w:tc>
          <w:tcPr>
            <w:tcW w:w="752"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21</w:t>
            </w:r>
          </w:p>
        </w:tc>
        <w:tc>
          <w:tcPr>
            <w:tcW w:w="1166" w:type="dxa"/>
            <w:tcBorders>
              <w:top w:val="single" w:color="000000" w:sz="4" w:space="0"/>
              <w:left w:val="nil"/>
              <w:bottom w:val="nil"/>
              <w:right w:val="nil"/>
            </w:tcBorders>
            <w:shd w:val="clear" w:color="auto" w:fill="FFFFFF"/>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445300000</w:t>
            </w:r>
          </w:p>
        </w:tc>
        <w:tc>
          <w:tcPr>
            <w:tcW w:w="2339" w:type="dxa"/>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云浮市市场监督管理局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省级食品抽检项目、食用农产品快速检测项目、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0"/>
                <w:szCs w:val="20"/>
              </w:rPr>
            </w:pPr>
            <w:r>
              <w:rPr>
                <w:rFonts w:hint="eastAsia" w:ascii="宋体" w:hAnsi="宋体"/>
                <w:color w:val="000000"/>
                <w:kern w:val="0"/>
                <w:sz w:val="20"/>
                <w:szCs w:val="20"/>
              </w:rPr>
              <w:t xml:space="preserve">412.00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（二）</w:t>
            </w:r>
          </w:p>
        </w:tc>
        <w:tc>
          <w:tcPr>
            <w:tcW w:w="116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rPr>
                <w:rFonts w:ascii="宋体" w:hAnsi="宋体" w:eastAsia="宋体"/>
                <w:b/>
                <w:bCs/>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仿宋" w:hAnsi="仿宋" w:eastAsia="仿宋"/>
                <w:b/>
                <w:bCs/>
                <w:color w:val="000000"/>
                <w:sz w:val="24"/>
              </w:rPr>
            </w:pPr>
            <w:r>
              <w:rPr>
                <w:rFonts w:hint="eastAsia" w:ascii="仿宋" w:hAnsi="仿宋" w:eastAsia="仿宋"/>
                <w:b/>
                <w:bCs/>
                <w:color w:val="000000"/>
                <w:kern w:val="0"/>
                <w:sz w:val="24"/>
              </w:rPr>
              <w:t>财政省直管县小计</w:t>
            </w:r>
          </w:p>
        </w:tc>
        <w:tc>
          <w:tcPr>
            <w:tcW w:w="305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right"/>
              <w:rPr>
                <w:rFonts w:ascii="宋体" w:hAnsi="宋体" w:eastAsia="宋体"/>
                <w:b/>
                <w:bCs/>
                <w:color w:val="000000"/>
                <w:sz w:val="24"/>
              </w:rPr>
            </w:pP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4"/>
              </w:rPr>
            </w:pPr>
            <w:r>
              <w:rPr>
                <w:rFonts w:hint="eastAsia" w:ascii="宋体" w:hAnsi="宋体"/>
                <w:b/>
                <w:bCs/>
                <w:color w:val="000000"/>
                <w:kern w:val="0"/>
                <w:sz w:val="24"/>
              </w:rPr>
              <w:t xml:space="preserve">220.00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jc w:val="center"/>
              <w:rPr>
                <w:rFonts w:ascii="宋体" w:hAnsi="宋体" w:eastAsia="宋体"/>
                <w:color w:val="000000"/>
                <w:sz w:val="22"/>
                <w:szCs w:val="22"/>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南澳县市场监督管理局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jc w:val="center"/>
              <w:rPr>
                <w:rFonts w:ascii="宋体" w:hAnsi="宋体" w:eastAsia="宋体"/>
                <w:color w:val="000000"/>
                <w:sz w:val="22"/>
                <w:szCs w:val="22"/>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南雄市市场监督管理局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3</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jc w:val="center"/>
              <w:rPr>
                <w:rFonts w:ascii="宋体" w:hAnsi="宋体" w:eastAsia="宋体"/>
                <w:color w:val="000000"/>
                <w:sz w:val="22"/>
                <w:szCs w:val="22"/>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乳源瑶族自治县市场监督管理局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jc w:val="center"/>
              <w:rPr>
                <w:rFonts w:ascii="宋体" w:hAnsi="宋体" w:eastAsia="宋体"/>
                <w:color w:val="000000"/>
                <w:sz w:val="22"/>
                <w:szCs w:val="22"/>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蕉岭县市场监督管理局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5</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jc w:val="center"/>
              <w:rPr>
                <w:rFonts w:ascii="宋体" w:hAnsi="宋体" w:eastAsia="宋体"/>
                <w:color w:val="000000"/>
                <w:sz w:val="22"/>
                <w:szCs w:val="22"/>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丰顺县市场监督管理局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6</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陆河县市场监督管理局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7</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廉江市市场监督管理局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8</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高州市市场监督管理局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9</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连南瑶族自治县市场监督管理局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10</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揭西县市场监督管理局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r>
        <w:tblPrEx>
          <w:tblCellMar>
            <w:top w:w="0" w:type="dxa"/>
            <w:left w:w="0" w:type="dxa"/>
            <w:bottom w:w="0" w:type="dxa"/>
            <w:right w:w="0" w:type="dxa"/>
          </w:tblCellMar>
        </w:tblPrEx>
        <w:trPr>
          <w:trHeight w:val="555" w:hRule="atLeast"/>
        </w:trPr>
        <w:tc>
          <w:tcPr>
            <w:tcW w:w="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w:t>
            </w:r>
          </w:p>
        </w:tc>
        <w:tc>
          <w:tcPr>
            <w:tcW w:w="11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4"/>
              </w:rPr>
            </w:pPr>
          </w:p>
        </w:tc>
        <w:tc>
          <w:tcPr>
            <w:tcW w:w="233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0"/>
                <w:szCs w:val="20"/>
              </w:rPr>
            </w:pPr>
            <w:r>
              <w:rPr>
                <w:rFonts w:hint="eastAsia" w:ascii="宋体" w:hAnsi="宋体"/>
                <w:color w:val="000000"/>
                <w:kern w:val="0"/>
                <w:sz w:val="20"/>
                <w:szCs w:val="20"/>
              </w:rPr>
              <w:t>郁南县市场监督管理局</w:t>
            </w:r>
          </w:p>
        </w:tc>
        <w:tc>
          <w:tcPr>
            <w:tcW w:w="3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18"/>
                <w:szCs w:val="18"/>
              </w:rPr>
            </w:pPr>
            <w:r>
              <w:rPr>
                <w:rFonts w:hint="eastAsia" w:ascii="宋体" w:hAnsi="宋体"/>
                <w:color w:val="000000"/>
                <w:kern w:val="0"/>
                <w:sz w:val="18"/>
                <w:szCs w:val="18"/>
              </w:rPr>
              <w:t>食品安全示范创建补助项目</w:t>
            </w:r>
          </w:p>
        </w:tc>
        <w:tc>
          <w:tcPr>
            <w:tcW w:w="1029"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b/>
                <w:bCs/>
                <w:color w:val="000000"/>
                <w:sz w:val="20"/>
                <w:szCs w:val="20"/>
              </w:rPr>
            </w:pPr>
            <w:r>
              <w:rPr>
                <w:rFonts w:hint="eastAsia" w:ascii="宋体" w:hAnsi="宋体"/>
                <w:b/>
                <w:bCs/>
                <w:color w:val="000000"/>
                <w:kern w:val="0"/>
                <w:sz w:val="20"/>
                <w:szCs w:val="20"/>
              </w:rPr>
              <w:t xml:space="preserve"> 20.00 </w:t>
            </w:r>
          </w:p>
        </w:tc>
      </w:tr>
    </w:tbl>
    <w:p>
      <w:pPr>
        <w:pStyle w:val="2"/>
        <w:ind w:left="600"/>
      </w:pPr>
      <w:r>
        <w:t xml:space="preserve"> </w:t>
      </w:r>
    </w:p>
    <w:p>
      <w:r>
        <w:br w:type="page"/>
      </w:r>
    </w:p>
    <w:p>
      <w:pPr>
        <w:widowControl/>
        <w:jc w:val="left"/>
        <w:rPr>
          <w:rFonts w:eastAsia="黑体"/>
          <w:color w:val="000000"/>
        </w:rPr>
      </w:pPr>
      <w:r>
        <w:rPr>
          <w:rFonts w:hint="eastAsia" w:ascii="黑体" w:hAnsi="黑体" w:eastAsia="黑体"/>
          <w:color w:val="000000"/>
          <w:sz w:val="32"/>
          <w:szCs w:val="32"/>
        </w:rPr>
        <w:t>附件</w:t>
      </w:r>
      <w:r>
        <w:rPr>
          <w:rFonts w:eastAsia="黑体"/>
          <w:color w:val="000000"/>
          <w:sz w:val="32"/>
          <w:szCs w:val="32"/>
        </w:rPr>
        <w:t>3</w:t>
      </w:r>
    </w:p>
    <w:p>
      <w:pPr>
        <w:widowControl/>
        <w:jc w:val="left"/>
        <w:rPr>
          <w:rFonts w:eastAsia="黑体"/>
          <w:color w:val="000000"/>
        </w:rPr>
      </w:pPr>
      <w:r>
        <w:rPr>
          <w:rFonts w:eastAsia="黑体"/>
          <w:color w:val="000000"/>
        </w:rPr>
        <w:t xml:space="preserve"> </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p>
    <w:p>
      <w:pPr>
        <w:jc w:val="center"/>
        <w:rPr>
          <w:rFonts w:eastAsia="方正小标宋简体"/>
          <w:color w:val="000000"/>
          <w:sz w:val="36"/>
          <w:szCs w:val="36"/>
        </w:rPr>
      </w:pPr>
      <w:r>
        <w:rPr>
          <w:rFonts w:hint="eastAsia" w:ascii="方正小标宋简体" w:eastAsia="方正小标宋简体"/>
          <w:color w:val="000000"/>
          <w:sz w:val="36"/>
          <w:szCs w:val="36"/>
        </w:rPr>
        <w:t>（市场监督管理</w:t>
      </w:r>
      <w:r>
        <w:rPr>
          <w:rFonts w:eastAsia="方正小标宋简体"/>
          <w:color w:val="000000"/>
          <w:sz w:val="36"/>
          <w:szCs w:val="36"/>
        </w:rPr>
        <w:t>-</w:t>
      </w:r>
      <w:r>
        <w:rPr>
          <w:rFonts w:hint="eastAsia" w:ascii="方正小标宋简体" w:eastAsia="方正小标宋简体"/>
          <w:color w:val="000000"/>
          <w:sz w:val="36"/>
          <w:szCs w:val="36"/>
        </w:rPr>
        <w:t>产品质量安全监管）明细分配表</w:t>
      </w:r>
    </w:p>
    <w:p>
      <w:pPr>
        <w:spacing w:line="440" w:lineRule="exact"/>
        <w:jc w:val="center"/>
        <w:rPr>
          <w:rFonts w:eastAsia="方正小标宋简体"/>
          <w:color w:val="000000"/>
          <w:sz w:val="36"/>
          <w:szCs w:val="36"/>
        </w:rPr>
      </w:pPr>
      <w:r>
        <w:rPr>
          <w:rFonts w:eastAsia="方正小标宋简体"/>
          <w:color w:val="000000"/>
          <w:sz w:val="36"/>
          <w:szCs w:val="36"/>
        </w:rPr>
        <w:t xml:space="preserve"> </w:t>
      </w:r>
    </w:p>
    <w:p>
      <w:pPr>
        <w:spacing w:line="400" w:lineRule="exact"/>
        <w:jc w:val="right"/>
        <w:rPr>
          <w:color w:val="000000"/>
          <w:sz w:val="24"/>
        </w:rPr>
      </w:pPr>
      <w:r>
        <w:rPr>
          <w:rFonts w:hint="eastAsia" w:ascii="仿宋_GB2312"/>
          <w:color w:val="000000"/>
          <w:sz w:val="24"/>
        </w:rPr>
        <w:t>单位：万元</w:t>
      </w:r>
    </w:p>
    <w:tbl>
      <w:tblPr>
        <w:tblStyle w:val="4"/>
        <w:tblW w:w="8336" w:type="dxa"/>
        <w:tblInd w:w="93" w:type="dxa"/>
        <w:tblLayout w:type="fixed"/>
        <w:tblCellMar>
          <w:top w:w="0" w:type="dxa"/>
          <w:left w:w="0" w:type="dxa"/>
          <w:bottom w:w="0" w:type="dxa"/>
          <w:right w:w="0" w:type="dxa"/>
        </w:tblCellMar>
      </w:tblPr>
      <w:tblGrid>
        <w:gridCol w:w="402"/>
        <w:gridCol w:w="1097"/>
        <w:gridCol w:w="2632"/>
        <w:gridCol w:w="3345"/>
        <w:gridCol w:w="860"/>
      </w:tblGrid>
      <w:tr>
        <w:tblPrEx>
          <w:tblCellMar>
            <w:top w:w="0" w:type="dxa"/>
            <w:left w:w="0" w:type="dxa"/>
            <w:bottom w:w="0" w:type="dxa"/>
            <w:right w:w="0" w:type="dxa"/>
          </w:tblCellMar>
        </w:tblPrEx>
        <w:trPr>
          <w:trHeight w:val="559" w:hRule="atLeast"/>
          <w:tblHeader/>
        </w:trPr>
        <w:tc>
          <w:tcPr>
            <w:tcW w:w="402" w:type="dxa"/>
            <w:vMerge w:val="restart"/>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序号</w:t>
            </w:r>
          </w:p>
        </w:tc>
        <w:tc>
          <w:tcPr>
            <w:tcW w:w="1097" w:type="dxa"/>
            <w:vMerge w:val="restart"/>
            <w:tcBorders>
              <w:top w:val="single" w:color="000000" w:sz="4" w:space="0"/>
              <w:left w:val="nil"/>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预算代码</w:t>
            </w:r>
          </w:p>
        </w:tc>
        <w:tc>
          <w:tcPr>
            <w:tcW w:w="2632" w:type="dxa"/>
            <w:vMerge w:val="restart"/>
            <w:tcBorders>
              <w:top w:val="single" w:color="000000" w:sz="4" w:space="0"/>
              <w:left w:val="nil"/>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地区（单位）</w:t>
            </w:r>
          </w:p>
        </w:tc>
        <w:tc>
          <w:tcPr>
            <w:tcW w:w="3345" w:type="dxa"/>
            <w:vMerge w:val="restart"/>
            <w:tcBorders>
              <w:top w:val="single" w:color="000000" w:sz="4" w:space="0"/>
              <w:left w:val="nil"/>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b/>
                <w:bCs/>
                <w:color w:val="000000"/>
                <w:sz w:val="24"/>
              </w:rPr>
            </w:pPr>
            <w:r>
              <w:rPr>
                <w:rFonts w:hint="eastAsia" w:ascii="仿宋" w:hAnsi="仿宋" w:eastAsia="仿宋"/>
                <w:b/>
                <w:bCs/>
                <w:color w:val="000000"/>
                <w:kern w:val="0"/>
                <w:sz w:val="24"/>
              </w:rPr>
              <w:t>项目名称</w:t>
            </w:r>
          </w:p>
        </w:tc>
        <w:tc>
          <w:tcPr>
            <w:tcW w:w="860" w:type="dxa"/>
            <w:vMerge w:val="restart"/>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b/>
                <w:bCs/>
                <w:color w:val="000000"/>
                <w:sz w:val="20"/>
                <w:szCs w:val="20"/>
              </w:rPr>
            </w:pPr>
            <w:r>
              <w:rPr>
                <w:rFonts w:hint="eastAsia" w:ascii="仿宋" w:hAnsi="仿宋" w:eastAsia="仿宋"/>
                <w:b/>
                <w:bCs/>
                <w:color w:val="000000"/>
                <w:kern w:val="0"/>
                <w:sz w:val="20"/>
                <w:szCs w:val="20"/>
              </w:rPr>
              <w:t>资金额</w:t>
            </w:r>
            <w:r>
              <w:rPr>
                <w:rFonts w:hint="eastAsia" w:ascii="仿宋" w:hAnsi="仿宋" w:eastAsia="仿宋"/>
                <w:b/>
                <w:bCs/>
                <w:color w:val="000000"/>
                <w:kern w:val="0"/>
                <w:sz w:val="20"/>
                <w:szCs w:val="20"/>
              </w:rPr>
              <w:br w:type="textWrapping"/>
            </w:r>
            <w:r>
              <w:rPr>
                <w:rFonts w:hint="eastAsia" w:ascii="仿宋" w:hAnsi="仿宋" w:eastAsia="仿宋"/>
                <w:b/>
                <w:bCs/>
                <w:color w:val="000000"/>
                <w:kern w:val="0"/>
                <w:sz w:val="20"/>
                <w:szCs w:val="20"/>
              </w:rPr>
              <w:t>(万元）</w:t>
            </w:r>
          </w:p>
        </w:tc>
      </w:tr>
      <w:tr>
        <w:tblPrEx>
          <w:tblCellMar>
            <w:top w:w="0" w:type="dxa"/>
            <w:left w:w="0" w:type="dxa"/>
            <w:bottom w:w="0" w:type="dxa"/>
            <w:right w:w="0" w:type="dxa"/>
          </w:tblCellMar>
        </w:tblPrEx>
        <w:trPr>
          <w:trHeight w:val="582" w:hRule="atLeast"/>
        </w:trPr>
        <w:tc>
          <w:tcPr>
            <w:tcW w:w="402" w:type="dxa"/>
            <w:vMerge w:val="continue"/>
            <w:tcBorders>
              <w:top w:val="single" w:color="000000" w:sz="4" w:space="0"/>
              <w:left w:val="single" w:color="000000" w:sz="4" w:space="0"/>
              <w:bottom w:val="nil"/>
              <w:right w:val="single" w:color="000000" w:sz="4" w:space="0"/>
            </w:tcBorders>
            <w:vAlign w:val="center"/>
          </w:tcPr>
          <w:p>
            <w:pPr>
              <w:widowControl/>
              <w:jc w:val="left"/>
              <w:rPr>
                <w:rFonts w:ascii="仿宋" w:hAnsi="仿宋" w:eastAsia="仿宋"/>
                <w:b/>
                <w:bCs/>
                <w:color w:val="000000"/>
                <w:sz w:val="24"/>
              </w:rPr>
            </w:pPr>
          </w:p>
        </w:tc>
        <w:tc>
          <w:tcPr>
            <w:tcW w:w="1097"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b/>
                <w:bCs/>
                <w:color w:val="000000"/>
                <w:sz w:val="24"/>
              </w:rPr>
            </w:pPr>
          </w:p>
        </w:tc>
        <w:tc>
          <w:tcPr>
            <w:tcW w:w="2632"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b/>
                <w:bCs/>
                <w:color w:val="000000"/>
                <w:sz w:val="24"/>
              </w:rPr>
            </w:pPr>
          </w:p>
        </w:tc>
        <w:tc>
          <w:tcPr>
            <w:tcW w:w="3345"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b/>
                <w:bCs/>
                <w:color w:val="000000"/>
                <w:sz w:val="24"/>
              </w:rPr>
            </w:pPr>
          </w:p>
        </w:tc>
        <w:tc>
          <w:tcPr>
            <w:tcW w:w="860" w:type="dxa"/>
            <w:vMerge w:val="continue"/>
            <w:tcBorders>
              <w:top w:val="single" w:color="000000" w:sz="4" w:space="0"/>
              <w:left w:val="nil"/>
              <w:bottom w:val="nil"/>
              <w:right w:val="single" w:color="000000" w:sz="4" w:space="0"/>
            </w:tcBorders>
            <w:vAlign w:val="center"/>
          </w:tcPr>
          <w:p>
            <w:pPr>
              <w:widowControl/>
              <w:jc w:val="left"/>
              <w:rPr>
                <w:rFonts w:ascii="仿宋" w:hAnsi="仿宋" w:eastAsia="仿宋"/>
                <w:b/>
                <w:bCs/>
                <w:color w:val="000000"/>
                <w:sz w:val="20"/>
                <w:szCs w:val="20"/>
              </w:rPr>
            </w:pPr>
          </w:p>
        </w:tc>
      </w:tr>
      <w:tr>
        <w:tblPrEx>
          <w:tblCellMar>
            <w:top w:w="0" w:type="dxa"/>
            <w:left w:w="0" w:type="dxa"/>
            <w:bottom w:w="0" w:type="dxa"/>
            <w:right w:w="0" w:type="dxa"/>
          </w:tblCellMar>
        </w:tblPrEx>
        <w:trPr>
          <w:trHeight w:val="57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省级小计</w:t>
            </w:r>
          </w:p>
        </w:tc>
        <w:tc>
          <w:tcPr>
            <w:tcW w:w="334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宋体" w:hAnsi="宋体" w:eastAsia="宋体"/>
                <w:color w:val="000000"/>
                <w:sz w:val="24"/>
              </w:rPr>
            </w:pP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8994.00 </w:t>
            </w:r>
          </w:p>
        </w:tc>
      </w:tr>
      <w:tr>
        <w:tblPrEx>
          <w:tblCellMar>
            <w:top w:w="0" w:type="dxa"/>
            <w:left w:w="0" w:type="dxa"/>
            <w:bottom w:w="0" w:type="dxa"/>
            <w:right w:w="0" w:type="dxa"/>
          </w:tblCellMar>
        </w:tblPrEx>
        <w:trPr>
          <w:trHeight w:val="57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广东省市场监管局</w:t>
            </w:r>
          </w:p>
        </w:tc>
        <w:tc>
          <w:tcPr>
            <w:tcW w:w="334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产品伤害监测项目</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199.00 </w:t>
            </w:r>
          </w:p>
        </w:tc>
      </w:tr>
      <w:tr>
        <w:tblPrEx>
          <w:tblCellMar>
            <w:top w:w="0" w:type="dxa"/>
            <w:left w:w="0" w:type="dxa"/>
            <w:bottom w:w="0" w:type="dxa"/>
            <w:right w:w="0" w:type="dxa"/>
          </w:tblCellMar>
        </w:tblPrEx>
        <w:trPr>
          <w:trHeight w:val="102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广东省市场监管局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产品伤害监测质量发展综合项目</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423.00 </w:t>
            </w:r>
          </w:p>
        </w:tc>
      </w:tr>
      <w:tr>
        <w:tblPrEx>
          <w:tblCellMar>
            <w:top w:w="0" w:type="dxa"/>
            <w:left w:w="0" w:type="dxa"/>
            <w:bottom w:w="0" w:type="dxa"/>
            <w:right w:w="0" w:type="dxa"/>
          </w:tblCellMar>
        </w:tblPrEx>
        <w:trPr>
          <w:trHeight w:val="57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广东省市场监管局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产品质量监督抽查技术服务政府购买服务项目</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3901.00 </w:t>
            </w:r>
          </w:p>
        </w:tc>
      </w:tr>
      <w:tr>
        <w:tblPrEx>
          <w:tblCellMar>
            <w:top w:w="0" w:type="dxa"/>
            <w:left w:w="0" w:type="dxa"/>
            <w:bottom w:w="0" w:type="dxa"/>
            <w:right w:w="0" w:type="dxa"/>
          </w:tblCellMar>
        </w:tblPrEx>
        <w:trPr>
          <w:trHeight w:val="57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广东省市场监管局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监督抽查结果分析及应用</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200.00 </w:t>
            </w:r>
          </w:p>
        </w:tc>
      </w:tr>
      <w:tr>
        <w:tblPrEx>
          <w:tblCellMar>
            <w:top w:w="0" w:type="dxa"/>
            <w:left w:w="0" w:type="dxa"/>
            <w:bottom w:w="0" w:type="dxa"/>
            <w:right w:w="0" w:type="dxa"/>
          </w:tblCellMar>
        </w:tblPrEx>
        <w:trPr>
          <w:trHeight w:val="118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118004</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广东省标准化研究院</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质量竞争性产品统计分类试点</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30.00 </w:t>
            </w:r>
          </w:p>
        </w:tc>
      </w:tr>
      <w:tr>
        <w:tblPrEx>
          <w:tblCellMar>
            <w:top w:w="0" w:type="dxa"/>
            <w:left w:w="0" w:type="dxa"/>
            <w:bottom w:w="0" w:type="dxa"/>
            <w:right w:w="0" w:type="dxa"/>
          </w:tblCellMar>
        </w:tblPrEx>
        <w:trPr>
          <w:trHeight w:val="114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3</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118006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广东产品质量监督检验研究院</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重点领域质量提升行动（112）、合格率统计调查（400）、消费品召回技术支撑服务（160）、科学质量管理方法推广（30）</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702.00 </w:t>
            </w:r>
          </w:p>
        </w:tc>
      </w:tr>
      <w:tr>
        <w:tblPrEx>
          <w:tblCellMar>
            <w:top w:w="0" w:type="dxa"/>
            <w:left w:w="0" w:type="dxa"/>
            <w:bottom w:w="0" w:type="dxa"/>
            <w:right w:w="0" w:type="dxa"/>
          </w:tblCellMar>
        </w:tblPrEx>
        <w:trPr>
          <w:trHeight w:val="170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广东产品质量监督检验研究院</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应急产品质量监督抽查658万元、不合格产品跟踪抽查200万元，产品质量分级监管产品的监督抽查50万元，重点产品的监督抽查182万元，产品质量现场检查及生产许可获证企业证后监管技术部分100万元、粤品通质量技术服务平台200万元</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1390.00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4</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118010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广东省WTO/TBT通报咨询研究中心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产品伤害监测项目</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190.00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宋体" w:hAnsi="宋体" w:eastAsia="宋体"/>
                <w:color w:val="000000"/>
                <w:sz w:val="24"/>
              </w:rPr>
            </w:pP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消费品召回技术研究</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15.00 </w:t>
            </w:r>
          </w:p>
        </w:tc>
      </w:tr>
      <w:tr>
        <w:tblPrEx>
          <w:tblCellMar>
            <w:top w:w="0" w:type="dxa"/>
            <w:left w:w="0" w:type="dxa"/>
            <w:bottom w:w="0" w:type="dxa"/>
            <w:right w:w="0" w:type="dxa"/>
          </w:tblCellMar>
        </w:tblPrEx>
        <w:trPr>
          <w:trHeight w:val="57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5</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174005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广东省疾病预防控制中心</w:t>
            </w:r>
          </w:p>
        </w:tc>
        <w:tc>
          <w:tcPr>
            <w:tcW w:w="3345"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产品伤害监测项目</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236.00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6</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118012001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广东省珠海市质量计量监督检测所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广东省珠海市质量计量监督检测所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27.00 </w:t>
            </w:r>
          </w:p>
        </w:tc>
      </w:tr>
      <w:tr>
        <w:tblPrEx>
          <w:tblCellMar>
            <w:top w:w="0" w:type="dxa"/>
            <w:left w:w="0" w:type="dxa"/>
            <w:bottom w:w="0" w:type="dxa"/>
            <w:right w:w="0" w:type="dxa"/>
          </w:tblCellMar>
        </w:tblPrEx>
        <w:trPr>
          <w:trHeight w:val="70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7</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118013</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广东省汕头市质量计量监督检测所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产品质量分级监管产品的监督抽查50万元，做好重点产品监督抽查19万元</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69.00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8</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118015001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佛山市质量计量监督检测中心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190.00 </w:t>
            </w:r>
          </w:p>
        </w:tc>
      </w:tr>
      <w:tr>
        <w:tblPrEx>
          <w:tblCellMar>
            <w:top w:w="0" w:type="dxa"/>
            <w:left w:w="0" w:type="dxa"/>
            <w:bottom w:w="0" w:type="dxa"/>
            <w:right w:w="0" w:type="dxa"/>
          </w:tblCellMar>
        </w:tblPrEx>
        <w:trPr>
          <w:trHeight w:val="1620"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left"/>
              <w:rPr>
                <w:rFonts w:ascii="宋体" w:hAnsi="宋体" w:eastAsia="宋体"/>
                <w:color w:val="000000"/>
                <w:sz w:val="24"/>
              </w:rPr>
            </w:pP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不合格产品跟踪抽查200万元、产品质量分级监管产品的监督抽查30万元，产品质量分级监管产品的监督抽查35万元、重点产品的监督抽查210.3万元、产品质量现场检查及生产许可获证企业证后监管技术部分100万元</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575.30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9</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118017001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广东省韶关市质量计量监督检测所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40.00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广东省韶关市质量计量监督检测所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27.00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10</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118019001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广东省河源市质量计量监督检测所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21.60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118021001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广东省梅州市质量计量监督检测所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25.00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广东省梅州市质量计量监督检测所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27.00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12</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118023001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广东省惠州市质量计量监督检测所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12.00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13</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118025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广东省惠州市石油产品质量监督检验中心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30.00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广东省惠州市石油产品质量监督检验中心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45.00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广东省惠州市石油产品质量监督检验中心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成品油产品质量监督抽查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200.00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14</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118028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广东省东莞市质量监督检测中心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广东省东莞市质量监督检测中心</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120.00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15</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118030</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广东省中山市质量计量监督检测所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27.00 </w:t>
            </w:r>
          </w:p>
        </w:tc>
      </w:tr>
      <w:tr>
        <w:tblPrEx>
          <w:tblCellMar>
            <w:top w:w="0" w:type="dxa"/>
            <w:left w:w="0" w:type="dxa"/>
            <w:bottom w:w="0" w:type="dxa"/>
            <w:right w:w="0" w:type="dxa"/>
          </w:tblCellMar>
        </w:tblPrEx>
        <w:trPr>
          <w:trHeight w:val="522"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16</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118032001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广东省江门市质量计量监督检测所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16.00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17</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118038001</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广东省茂名市质量计量监督检测所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成品油产品质量监督抽查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100.00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18</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118041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广东省清远市质量计量监督检测所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13.50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19</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118043001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广东省潮州市质量计量监督检测所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52.50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20</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 xml:space="preserve">118045001 </w:t>
            </w: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广东省揭阳市质量计量监督检测所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产品合格率统计调查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15.00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4"/>
              </w:rPr>
            </w:pPr>
          </w:p>
        </w:tc>
        <w:tc>
          <w:tcPr>
            <w:tcW w:w="263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4"/>
              </w:rPr>
            </w:pPr>
            <w:r>
              <w:rPr>
                <w:rFonts w:hint="eastAsia" w:ascii="宋体" w:hAnsi="宋体"/>
                <w:color w:val="000000"/>
                <w:kern w:val="0"/>
                <w:sz w:val="24"/>
              </w:rPr>
              <w:t>广东省揭阳市质量计量监督检测所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13.50 </w:t>
            </w:r>
          </w:p>
        </w:tc>
      </w:tr>
      <w:tr>
        <w:tblPrEx>
          <w:tblCellMar>
            <w:top w:w="0" w:type="dxa"/>
            <w:left w:w="0" w:type="dxa"/>
            <w:bottom w:w="0" w:type="dxa"/>
            <w:right w:w="0" w:type="dxa"/>
          </w:tblCellMar>
        </w:tblPrEx>
        <w:trPr>
          <w:trHeight w:val="555" w:hRule="atLeast"/>
        </w:trPr>
        <w:tc>
          <w:tcPr>
            <w:tcW w:w="40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21</w:t>
            </w:r>
          </w:p>
        </w:tc>
        <w:tc>
          <w:tcPr>
            <w:tcW w:w="1097"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118047001</w:t>
            </w:r>
          </w:p>
        </w:tc>
        <w:tc>
          <w:tcPr>
            <w:tcW w:w="263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广东省云浮市质量计量监督检测所</w:t>
            </w:r>
          </w:p>
        </w:tc>
        <w:tc>
          <w:tcPr>
            <w:tcW w:w="334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做好重点产品的监督抽查</w:t>
            </w:r>
          </w:p>
        </w:tc>
        <w:tc>
          <w:tcPr>
            <w:tcW w:w="86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right"/>
              <w:textAlignment w:val="center"/>
              <w:rPr>
                <w:rFonts w:ascii="宋体" w:hAnsi="宋体" w:eastAsia="宋体"/>
                <w:color w:val="000000"/>
                <w:sz w:val="24"/>
              </w:rPr>
            </w:pPr>
            <w:r>
              <w:rPr>
                <w:rFonts w:hint="eastAsia" w:ascii="宋体" w:hAnsi="宋体"/>
                <w:color w:val="000000"/>
                <w:kern w:val="0"/>
                <w:sz w:val="24"/>
              </w:rPr>
              <w:t xml:space="preserve">21.60 </w:t>
            </w:r>
          </w:p>
        </w:tc>
      </w:tr>
    </w:tbl>
    <w:p>
      <w:pPr>
        <w:pStyle w:val="2"/>
        <w:ind w:left="600"/>
      </w:pPr>
      <w:r>
        <w:t xml:space="preserve"> </w:t>
      </w:r>
    </w:p>
    <w:p>
      <w:r>
        <w:br w:type="page"/>
      </w:r>
    </w:p>
    <w:p>
      <w:pPr>
        <w:rPr>
          <w:rFonts w:eastAsia="黑体"/>
          <w:color w:val="000000"/>
        </w:rPr>
      </w:pPr>
      <w:r>
        <w:rPr>
          <w:rFonts w:hint="eastAsia" w:ascii="黑体" w:hAnsi="黑体" w:eastAsia="黑体"/>
          <w:color w:val="000000"/>
          <w:sz w:val="32"/>
          <w:szCs w:val="32"/>
        </w:rPr>
        <w:t>附件</w:t>
      </w:r>
      <w:r>
        <w:rPr>
          <w:rFonts w:eastAsia="黑体"/>
          <w:color w:val="000000"/>
          <w:sz w:val="32"/>
          <w:szCs w:val="32"/>
        </w:rPr>
        <w:t>4</w:t>
      </w:r>
    </w:p>
    <w:p>
      <w:pPr>
        <w:rPr>
          <w:rFonts w:eastAsia="黑体"/>
          <w:color w:val="000000"/>
        </w:rPr>
      </w:pPr>
      <w:r>
        <w:rPr>
          <w:rFonts w:eastAsia="黑体"/>
          <w:color w:val="000000"/>
        </w:rPr>
        <w:t xml:space="preserve"> </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r>
        <w:rPr>
          <w:rFonts w:hint="eastAsia" w:ascii="方正小标宋简体" w:eastAsia="方正小标宋简体"/>
          <w:color w:val="000000"/>
          <w:spacing w:val="-11"/>
          <w:sz w:val="36"/>
          <w:szCs w:val="36"/>
        </w:rPr>
        <w:t>（市场监督管理</w:t>
      </w:r>
      <w:r>
        <w:rPr>
          <w:rFonts w:eastAsia="方正小标宋简体"/>
          <w:color w:val="000000"/>
          <w:spacing w:val="-11"/>
          <w:sz w:val="36"/>
          <w:szCs w:val="36"/>
        </w:rPr>
        <w:t>-</w:t>
      </w:r>
    </w:p>
    <w:p>
      <w:pPr>
        <w:jc w:val="center"/>
        <w:rPr>
          <w:rFonts w:eastAsia="方正小标宋简体"/>
          <w:color w:val="000000"/>
          <w:spacing w:val="-11"/>
          <w:sz w:val="36"/>
          <w:szCs w:val="36"/>
        </w:rPr>
      </w:pPr>
      <w:r>
        <w:rPr>
          <w:rFonts w:hint="eastAsia" w:ascii="方正小标宋简体" w:eastAsia="方正小标宋简体"/>
          <w:color w:val="000000"/>
          <w:spacing w:val="-11"/>
          <w:sz w:val="36"/>
          <w:szCs w:val="36"/>
        </w:rPr>
        <w:t>知识产权创造、运用和保护）省本级资金明细分配表</w:t>
      </w:r>
    </w:p>
    <w:p>
      <w:pPr>
        <w:spacing w:line="240" w:lineRule="exact"/>
        <w:jc w:val="center"/>
        <w:rPr>
          <w:rFonts w:eastAsia="方正小标宋简体"/>
          <w:color w:val="000000"/>
          <w:spacing w:val="-11"/>
          <w:sz w:val="36"/>
          <w:szCs w:val="36"/>
        </w:rPr>
      </w:pPr>
      <w:r>
        <w:rPr>
          <w:rFonts w:eastAsia="方正小标宋简体"/>
          <w:color w:val="000000"/>
          <w:spacing w:val="-11"/>
          <w:sz w:val="36"/>
          <w:szCs w:val="36"/>
        </w:rPr>
        <w:t xml:space="preserve"> </w:t>
      </w:r>
    </w:p>
    <w:p>
      <w:pPr>
        <w:spacing w:line="320" w:lineRule="exact"/>
        <w:jc w:val="right"/>
        <w:rPr>
          <w:rFonts w:eastAsia="宋体"/>
          <w:color w:val="000000"/>
          <w:sz w:val="24"/>
        </w:rPr>
      </w:pPr>
      <w:r>
        <w:rPr>
          <w:rFonts w:hint="eastAsia" w:ascii="仿宋_GB2312"/>
          <w:color w:val="000000"/>
          <w:sz w:val="24"/>
        </w:rPr>
        <w:t>单位：万元</w:t>
      </w:r>
    </w:p>
    <w:tbl>
      <w:tblPr>
        <w:tblStyle w:val="4"/>
        <w:tblW w:w="8336" w:type="dxa"/>
        <w:tblInd w:w="93" w:type="dxa"/>
        <w:tblLayout w:type="fixed"/>
        <w:tblCellMar>
          <w:top w:w="0" w:type="dxa"/>
          <w:left w:w="0" w:type="dxa"/>
          <w:bottom w:w="0" w:type="dxa"/>
          <w:right w:w="0" w:type="dxa"/>
        </w:tblCellMar>
      </w:tblPr>
      <w:tblGrid>
        <w:gridCol w:w="562"/>
        <w:gridCol w:w="756"/>
        <w:gridCol w:w="1972"/>
        <w:gridCol w:w="4142"/>
        <w:gridCol w:w="904"/>
      </w:tblGrid>
      <w:tr>
        <w:tblPrEx>
          <w:tblCellMar>
            <w:top w:w="0" w:type="dxa"/>
            <w:left w:w="0" w:type="dxa"/>
            <w:bottom w:w="0" w:type="dxa"/>
            <w:right w:w="0" w:type="dxa"/>
          </w:tblCellMar>
        </w:tblPrEx>
        <w:trPr>
          <w:trHeight w:val="539" w:hRule="atLeast"/>
          <w:tblHeader/>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序号</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预算代码</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地区（单位）</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项目名称</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知识产权创造运用保护</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省级小计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10830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118</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5574</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118001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广东省市场监督管理局机关小计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5184</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2024年国家知识产权优势示范企业服务支撑项目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2024年专利导航标准应用、技能实践及就业服务项目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80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2022年度优势示范企业后补助</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545</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2024年度广东区域商标品牌发展指数评价项目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2024年知识产权信息服务公益推广项目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80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2024年专利代理行业自律、协同监管及服务能力提升项目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2024年商标代理行业自律、协同监管及服务能力提升项目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2024年知识产权公共服务网点激励</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2024年中小学知识产权教育</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2024年广东省专利奖支撑服务项目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65</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2024年广东创新发展报告项目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2024年知识产权项目支出标准研究</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20</w:t>
            </w:r>
          </w:p>
        </w:tc>
      </w:tr>
      <w:tr>
        <w:tblPrEx>
          <w:tblCellMar>
            <w:top w:w="0" w:type="dxa"/>
            <w:left w:w="0" w:type="dxa"/>
            <w:bottom w:w="0" w:type="dxa"/>
            <w:right w:w="0" w:type="dxa"/>
          </w:tblCellMar>
        </w:tblPrEx>
        <w:trPr>
          <w:trHeight w:val="81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广东省市场监督管理局（转拨国家知识产权局专利局专利审查协作广东中心）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2024年广东省专利奖网评</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81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广东省市场监督管理局（转拨国家知识产权局专利局专利审查协作广东中心）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专利申请质量前端排查试点工作</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500</w:t>
            </w:r>
          </w:p>
        </w:tc>
      </w:tr>
      <w:tr>
        <w:tblPrEx>
          <w:tblCellMar>
            <w:top w:w="0" w:type="dxa"/>
            <w:left w:w="0" w:type="dxa"/>
            <w:bottom w:w="0" w:type="dxa"/>
            <w:right w:w="0" w:type="dxa"/>
          </w:tblCellMar>
        </w:tblPrEx>
        <w:trPr>
          <w:trHeight w:val="66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2024年数据知识产权保护试点工作项目</w:t>
            </w:r>
            <w:r>
              <w:rPr>
                <w:rFonts w:hint="eastAsia" w:ascii="宋体" w:hAnsi="宋体"/>
                <w:color w:val="000000"/>
                <w:kern w:val="0"/>
                <w:sz w:val="22"/>
                <w:szCs w:val="22"/>
              </w:rPr>
              <w:br w:type="textWrapping"/>
            </w:r>
            <w:r>
              <w:rPr>
                <w:rFonts w:hint="eastAsia" w:ascii="宋体" w:hAnsi="宋体"/>
                <w:color w:val="000000"/>
                <w:kern w:val="0"/>
                <w:sz w:val="22"/>
                <w:szCs w:val="22"/>
              </w:rPr>
              <w:t>（政府采购）</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66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知识产权助力高质量发展项目（含工作经费）</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kern w:val="0"/>
                <w:sz w:val="22"/>
                <w:szCs w:val="22"/>
              </w:rPr>
            </w:pPr>
            <w:r>
              <w:rPr>
                <w:rFonts w:hint="eastAsia" w:ascii="宋体" w:hAnsi="宋体"/>
                <w:color w:val="000000"/>
                <w:kern w:val="0"/>
                <w:sz w:val="22"/>
                <w:szCs w:val="22"/>
              </w:rPr>
              <w:t>169</w:t>
            </w:r>
          </w:p>
        </w:tc>
      </w:tr>
      <w:tr>
        <w:tblPrEx>
          <w:tblCellMar>
            <w:top w:w="0" w:type="dxa"/>
            <w:left w:w="0" w:type="dxa"/>
            <w:bottom w:w="0" w:type="dxa"/>
            <w:right w:w="0" w:type="dxa"/>
          </w:tblCellMar>
        </w:tblPrEx>
        <w:trPr>
          <w:trHeight w:val="66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2024年广交会等大型展会知识产权保护治理效能提升项目（发申报指南）</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w:t>
            </w:r>
          </w:p>
        </w:tc>
      </w:tr>
      <w:tr>
        <w:tblPrEx>
          <w:tblCellMar>
            <w:top w:w="0" w:type="dxa"/>
            <w:left w:w="0" w:type="dxa"/>
            <w:bottom w:w="0" w:type="dxa"/>
            <w:right w:w="0" w:type="dxa"/>
          </w:tblCellMar>
        </w:tblPrEx>
        <w:trPr>
          <w:trHeight w:val="9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2024年广东省地理标志赋能百县千镇万村高质量发展项目（发申报指南）</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w:t>
            </w:r>
          </w:p>
        </w:tc>
      </w:tr>
      <w:tr>
        <w:tblPrEx>
          <w:tblCellMar>
            <w:top w:w="0" w:type="dxa"/>
            <w:left w:w="0" w:type="dxa"/>
            <w:bottom w:w="0" w:type="dxa"/>
            <w:right w:w="0" w:type="dxa"/>
          </w:tblCellMar>
        </w:tblPrEx>
        <w:trPr>
          <w:trHeight w:val="66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广东省市场监督管理局（发申报指南）</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2024年重点出口产业知识产权分析预警及海外保护能力提升项目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450</w:t>
            </w:r>
          </w:p>
        </w:tc>
      </w:tr>
      <w:tr>
        <w:tblPrEx>
          <w:tblCellMar>
            <w:top w:w="0" w:type="dxa"/>
            <w:left w:w="0" w:type="dxa"/>
            <w:bottom w:w="0" w:type="dxa"/>
            <w:right w:w="0" w:type="dxa"/>
          </w:tblCellMar>
        </w:tblPrEx>
        <w:trPr>
          <w:trHeight w:val="81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广东省市场监督管理局（转拨国家知识产权局专利局专利审查协作广东中心）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2024年专利侵权判定技术咨询服务项目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90</w:t>
            </w:r>
          </w:p>
        </w:tc>
      </w:tr>
      <w:tr>
        <w:tblPrEx>
          <w:tblCellMar>
            <w:top w:w="0" w:type="dxa"/>
            <w:left w:w="0" w:type="dxa"/>
            <w:bottom w:w="0" w:type="dxa"/>
            <w:right w:w="0" w:type="dxa"/>
          </w:tblCellMar>
        </w:tblPrEx>
        <w:trPr>
          <w:trHeight w:val="4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地理标志产品湾区认证</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200</w:t>
            </w:r>
          </w:p>
        </w:tc>
      </w:tr>
      <w:tr>
        <w:tblPrEx>
          <w:tblCellMar>
            <w:top w:w="0" w:type="dxa"/>
            <w:left w:w="0" w:type="dxa"/>
            <w:bottom w:w="0" w:type="dxa"/>
            <w:right w:w="0" w:type="dxa"/>
          </w:tblCellMar>
        </w:tblPrEx>
        <w:trPr>
          <w:trHeight w:val="81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广东省市场监督管理局(河源、梅州、湛江、潮州、揭阳、清远市市场监管局）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特色型知识产权强市共建</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600</w:t>
            </w:r>
          </w:p>
        </w:tc>
      </w:tr>
      <w:tr>
        <w:tblPrEx>
          <w:tblCellMar>
            <w:top w:w="0" w:type="dxa"/>
            <w:left w:w="0" w:type="dxa"/>
            <w:bottom w:w="0" w:type="dxa"/>
            <w:right w:w="0" w:type="dxa"/>
          </w:tblCellMar>
        </w:tblPrEx>
        <w:trPr>
          <w:trHeight w:val="81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广东省市场监督管理局（转拨国家知识产权局专利局专利审查协作广东中心）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广东省新一代信息技术产业海外知识产权纠纷应对服务平台项目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90</w:t>
            </w:r>
          </w:p>
        </w:tc>
      </w:tr>
      <w:tr>
        <w:tblPrEx>
          <w:tblCellMar>
            <w:top w:w="0" w:type="dxa"/>
            <w:left w:w="0" w:type="dxa"/>
            <w:bottom w:w="0" w:type="dxa"/>
            <w:right w:w="0" w:type="dxa"/>
          </w:tblCellMar>
        </w:tblPrEx>
        <w:trPr>
          <w:trHeight w:val="8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广东省市场监督管理局（转拨国家知识产权局专利局专利审查协作广东中心）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2024年粤东西北知识产权服务工作项目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地理标志助推乡村振兴工程项目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广东省市场监督管理局（转拨广州市局等）</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基层知识产权改革创新示范推广</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200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重大课题研究</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知识产权专家咨询委员会咨询服务项目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35</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《广东知识产权》内部资料印刷发行项目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2024年度商业秘密保护企业维权援助项目（发申报指南）</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2024年度商业秘密保护体系建设项目（发申报指南）</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200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2024年度涉外商业秘密保护体系建设项目（发申报指南）</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2024年度反不正当竞争技术性判定支持项目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kern w:val="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广东省市场监督管理局</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2024“企业商业秘密保护能力提升服务月”活动（发申报指南）</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118010</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广东省WTO/TBT通报咨询研究中心小计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100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广东省WTO/TBT通报咨询研究中心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w:t>
            </w:r>
          </w:p>
        </w:tc>
      </w:tr>
      <w:tr>
        <w:tblPrEx>
          <w:tblCellMar>
            <w:top w:w="0" w:type="dxa"/>
            <w:left w:w="0" w:type="dxa"/>
            <w:bottom w:w="0" w:type="dxa"/>
            <w:right w:w="0" w:type="dxa"/>
          </w:tblCellMar>
        </w:tblPrEx>
        <w:trPr>
          <w:trHeight w:val="27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宋体" w:hAnsi="宋体" w:eastAsia="宋体"/>
                <w:color w:val="000000"/>
                <w:sz w:val="22"/>
                <w:szCs w:val="22"/>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2"/>
                <w:szCs w:val="22"/>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2"/>
                <w:szCs w:val="22"/>
              </w:rPr>
            </w:pP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3</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118054</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国家知识产权局专利局广州代办处小计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　</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290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　</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国家知识产权局专利局广州代办处</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2024年知识产权服务便利化建设项目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290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2"/>
                <w:szCs w:val="22"/>
              </w:rPr>
            </w:pP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4</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170003</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省青少年科技中心小计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广东省科学技术协会事业发展中心（广东科学馆）</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2024年省青少年科技创新大赛专利奖评选项目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2"/>
                <w:szCs w:val="22"/>
              </w:rPr>
            </w:pP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5</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257</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广东省知识产权保护中心小计</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5246</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2024年知识产权维权援助保障项目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120</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2024年技术调查官管理与服务</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80</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kern w:val="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kern w:val="0"/>
                <w:sz w:val="22"/>
                <w:szCs w:val="22"/>
              </w:rPr>
            </w:pPr>
            <w:r>
              <w:rPr>
                <w:rFonts w:hint="eastAsia" w:ascii="宋体" w:hAnsi="宋体"/>
                <w:color w:val="000000"/>
                <w:kern w:val="0"/>
                <w:sz w:val="22"/>
                <w:szCs w:val="22"/>
              </w:rPr>
              <w:t>2024年海外知识产权维权援助体系及企业知识产权国际合规建设</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kern w:val="0"/>
                <w:sz w:val="22"/>
                <w:szCs w:val="22"/>
              </w:rPr>
            </w:pPr>
            <w:r>
              <w:rPr>
                <w:rFonts w:hint="eastAsia" w:ascii="宋体" w:hAnsi="宋体"/>
                <w:color w:val="000000"/>
                <w:kern w:val="0"/>
                <w:sz w:val="22"/>
                <w:szCs w:val="22"/>
              </w:rPr>
              <w:t>542</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2024年广东省专利预审协作平台能力保障与提升</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278</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2024年地理标志专用标志使用核准技术审查项目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48</w:t>
            </w:r>
          </w:p>
        </w:tc>
      </w:tr>
      <w:tr>
        <w:tblPrEx>
          <w:tblCellMar>
            <w:top w:w="0" w:type="dxa"/>
            <w:left w:w="0" w:type="dxa"/>
            <w:bottom w:w="0" w:type="dxa"/>
            <w:right w:w="0" w:type="dxa"/>
          </w:tblCellMar>
        </w:tblPrEx>
        <w:trPr>
          <w:trHeight w:val="4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2024年数据知识产权登记实践服务</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w:t>
            </w:r>
          </w:p>
        </w:tc>
      </w:tr>
      <w:tr>
        <w:tblPrEx>
          <w:tblCellMar>
            <w:top w:w="0" w:type="dxa"/>
            <w:left w:w="0" w:type="dxa"/>
            <w:bottom w:w="0" w:type="dxa"/>
            <w:right w:w="0" w:type="dxa"/>
          </w:tblCellMar>
        </w:tblPrEx>
        <w:trPr>
          <w:trHeight w:val="38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2024年省知识产权战略实施工作联席会议协调推进项目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70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2024年商标实质审查服务项目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1500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257001</w:t>
            </w:r>
          </w:p>
        </w:tc>
        <w:tc>
          <w:tcPr>
            <w:tcW w:w="197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nil"/>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2024年打击商标恶意注册与侵权及企业商标保护预警项目</w:t>
            </w:r>
          </w:p>
        </w:tc>
        <w:tc>
          <w:tcPr>
            <w:tcW w:w="904" w:type="dxa"/>
            <w:tcBorders>
              <w:top w:val="single" w:color="000000" w:sz="4" w:space="0"/>
              <w:left w:val="nil"/>
              <w:bottom w:val="nil"/>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80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2024年知识产权助力企业高质量发展和高效益运用项目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2024年专利转移转化服务</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48</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2024年广东省战略性产业集群专利数据服务支撑项目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65</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2024年知识产权公共服务数字化支撑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2024年知识产权信息公共服务机构建设及能力提升</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130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2024年知识产权强国及强省试点示范区域组织服务工作</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2024年广东省商标品牌战略实施项目</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160</w:t>
            </w:r>
          </w:p>
        </w:tc>
      </w:tr>
      <w:tr>
        <w:tblPrEx>
          <w:tblCellMar>
            <w:top w:w="0" w:type="dxa"/>
            <w:left w:w="0" w:type="dxa"/>
            <w:bottom w:w="0" w:type="dxa"/>
            <w:right w:w="0" w:type="dxa"/>
          </w:tblCellMar>
        </w:tblPrEx>
        <w:trPr>
          <w:trHeight w:val="42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2024年知识产权质押融资促进实施项目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2024年广东省商标受理窗口专业能力提升、知识产权服务业调查项目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75</w:t>
            </w:r>
          </w:p>
        </w:tc>
      </w:tr>
      <w:tr>
        <w:tblPrEx>
          <w:tblCellMar>
            <w:top w:w="0" w:type="dxa"/>
            <w:left w:w="0" w:type="dxa"/>
            <w:bottom w:w="0" w:type="dxa"/>
            <w:right w:w="0" w:type="dxa"/>
          </w:tblCellMar>
        </w:tblPrEx>
        <w:trPr>
          <w:trHeight w:val="6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2024年广东省知识产权宣传周主题活动及大型活动会务服务支撑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90</w:t>
            </w:r>
          </w:p>
        </w:tc>
      </w:tr>
      <w:tr>
        <w:tblPrEx>
          <w:tblCellMar>
            <w:top w:w="0" w:type="dxa"/>
            <w:left w:w="0" w:type="dxa"/>
            <w:bottom w:w="0" w:type="dxa"/>
            <w:right w:w="0" w:type="dxa"/>
          </w:tblCellMar>
        </w:tblPrEx>
        <w:trPr>
          <w:trHeight w:val="6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2024年地理标志产品广货手信节</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w:t>
            </w:r>
          </w:p>
        </w:tc>
      </w:tr>
      <w:tr>
        <w:tblPrEx>
          <w:tblCellMar>
            <w:top w:w="0" w:type="dxa"/>
            <w:left w:w="0" w:type="dxa"/>
            <w:bottom w:w="0" w:type="dxa"/>
            <w:right w:w="0" w:type="dxa"/>
          </w:tblCellMar>
        </w:tblPrEx>
        <w:trPr>
          <w:trHeight w:val="60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2024年粤港澳大湾区知识产权交易博览会暨国际地理标志产品交易博览会</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700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2024年湾区知识产权合作高地与宣传服务机制建设项目</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w:t>
            </w:r>
          </w:p>
        </w:tc>
      </w:tr>
      <w:tr>
        <w:tblPrEx>
          <w:tblCellMar>
            <w:top w:w="0" w:type="dxa"/>
            <w:left w:w="0" w:type="dxa"/>
            <w:bottom w:w="0" w:type="dxa"/>
            <w:right w:w="0" w:type="dxa"/>
          </w:tblCellMar>
        </w:tblPrEx>
        <w:trPr>
          <w:trHeight w:val="36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257001</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广东省知识产权保护中心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2024年知识产权人才培训与职称评审</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45</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2024年度粤港澳青年商标品牌交流实践基地</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120</w:t>
            </w:r>
          </w:p>
        </w:tc>
      </w:tr>
      <w:tr>
        <w:tblPrEx>
          <w:tblCellMar>
            <w:top w:w="0" w:type="dxa"/>
            <w:left w:w="0" w:type="dxa"/>
            <w:bottom w:w="0" w:type="dxa"/>
            <w:right w:w="0" w:type="dxa"/>
          </w:tblCellMar>
        </w:tblPrEx>
        <w:trPr>
          <w:trHeight w:val="54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4"/>
              </w:rPr>
            </w:pPr>
            <w:r>
              <w:rPr>
                <w:rFonts w:hint="eastAsia" w:ascii="宋体" w:hAnsi="宋体"/>
                <w:color w:val="000000"/>
                <w:kern w:val="0"/>
                <w:sz w:val="24"/>
              </w:rPr>
              <w:t>257002</w:t>
            </w:r>
          </w:p>
        </w:tc>
        <w:tc>
          <w:tcPr>
            <w:tcW w:w="197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广州商标审查协作中心</w:t>
            </w:r>
          </w:p>
        </w:tc>
        <w:tc>
          <w:tcPr>
            <w:tcW w:w="414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年度专利调查工作</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25</w:t>
            </w:r>
          </w:p>
        </w:tc>
      </w:tr>
    </w:tbl>
    <w:p>
      <w:pPr>
        <w:rPr>
          <w:rFonts w:ascii="Calibri" w:hAnsi="Calibri"/>
          <w:sz w:val="21"/>
          <w:szCs w:val="21"/>
        </w:rPr>
      </w:pPr>
      <w:r>
        <w:br w:type="page"/>
      </w:r>
    </w:p>
    <w:p>
      <w:pPr>
        <w:widowControl/>
        <w:jc w:val="left"/>
        <w:rPr>
          <w:rFonts w:eastAsia="黑体"/>
          <w:color w:val="000000"/>
          <w:sz w:val="18"/>
          <w:szCs w:val="18"/>
        </w:rPr>
      </w:pPr>
      <w:r>
        <w:rPr>
          <w:rFonts w:hint="eastAsia" w:ascii="黑体" w:hAnsi="黑体" w:eastAsia="黑体"/>
          <w:color w:val="000000"/>
          <w:sz w:val="32"/>
          <w:szCs w:val="32"/>
        </w:rPr>
        <w:t>附件</w:t>
      </w:r>
      <w:r>
        <w:rPr>
          <w:rFonts w:hint="eastAsia" w:eastAsia="黑体"/>
          <w:color w:val="000000"/>
          <w:sz w:val="32"/>
          <w:szCs w:val="32"/>
        </w:rPr>
        <w:t>4</w:t>
      </w:r>
    </w:p>
    <w:p>
      <w:pPr>
        <w:widowControl/>
        <w:jc w:val="left"/>
        <w:rPr>
          <w:rFonts w:eastAsia="黑体"/>
          <w:color w:val="000000"/>
          <w:sz w:val="18"/>
          <w:szCs w:val="18"/>
        </w:rPr>
      </w:pPr>
      <w:r>
        <w:rPr>
          <w:rFonts w:eastAsia="黑体"/>
          <w:color w:val="000000"/>
          <w:sz w:val="18"/>
          <w:szCs w:val="18"/>
        </w:rPr>
        <w:t xml:space="preserve"> </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r>
        <w:rPr>
          <w:rFonts w:hint="eastAsia" w:ascii="方正小标宋简体" w:eastAsia="方正小标宋简体"/>
          <w:color w:val="000000"/>
          <w:spacing w:val="-11"/>
          <w:sz w:val="36"/>
          <w:szCs w:val="36"/>
        </w:rPr>
        <w:t>（市场监督管理</w:t>
      </w:r>
      <w:r>
        <w:rPr>
          <w:rFonts w:eastAsia="方正小标宋简体"/>
          <w:color w:val="000000"/>
          <w:spacing w:val="-11"/>
          <w:sz w:val="36"/>
          <w:szCs w:val="36"/>
        </w:rPr>
        <w:t>-</w:t>
      </w:r>
    </w:p>
    <w:p>
      <w:pPr>
        <w:jc w:val="center"/>
        <w:rPr>
          <w:rFonts w:eastAsia="方正小标宋简体"/>
          <w:color w:val="000000"/>
          <w:spacing w:val="-11"/>
          <w:sz w:val="36"/>
          <w:szCs w:val="36"/>
        </w:rPr>
      </w:pPr>
      <w:r>
        <w:rPr>
          <w:rFonts w:hint="eastAsia" w:ascii="方正小标宋简体" w:eastAsia="方正小标宋简体"/>
          <w:color w:val="000000"/>
          <w:spacing w:val="-11"/>
          <w:sz w:val="36"/>
          <w:szCs w:val="36"/>
        </w:rPr>
        <w:t>知识产权创造、运用和保护）转移市县资金明细分配表</w:t>
      </w:r>
    </w:p>
    <w:p>
      <w:pPr>
        <w:pStyle w:val="2"/>
        <w:ind w:left="600"/>
        <w:jc w:val="right"/>
      </w:pPr>
      <w:r>
        <w:rPr>
          <w:rFonts w:hint="eastAsia" w:ascii="仿宋_GB2312" w:hAnsi="Times New Roman" w:eastAsia="仿宋_GB2312"/>
          <w:color w:val="000000"/>
          <w:sz w:val="24"/>
          <w:szCs w:val="24"/>
        </w:rPr>
        <w:t>单位：万元</w:t>
      </w:r>
    </w:p>
    <w:tbl>
      <w:tblPr>
        <w:tblStyle w:val="4"/>
        <w:tblW w:w="8336" w:type="dxa"/>
        <w:tblInd w:w="93" w:type="dxa"/>
        <w:tblLayout w:type="fixed"/>
        <w:tblCellMar>
          <w:top w:w="0" w:type="dxa"/>
          <w:left w:w="0" w:type="dxa"/>
          <w:bottom w:w="0" w:type="dxa"/>
          <w:right w:w="0" w:type="dxa"/>
        </w:tblCellMar>
      </w:tblPr>
      <w:tblGrid>
        <w:gridCol w:w="562"/>
        <w:gridCol w:w="756"/>
        <w:gridCol w:w="1978"/>
        <w:gridCol w:w="4136"/>
        <w:gridCol w:w="904"/>
      </w:tblGrid>
      <w:tr>
        <w:trPr>
          <w:trHeight w:val="283" w:hRule="atLeast"/>
          <w:tblHeader/>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2"/>
                <w:szCs w:val="22"/>
              </w:rPr>
              <w:t>序号</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2"/>
                <w:szCs w:val="22"/>
              </w:rPr>
              <w:t>预算代码</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kern w:val="0"/>
                <w:sz w:val="22"/>
                <w:szCs w:val="22"/>
              </w:rPr>
            </w:pPr>
            <w:r>
              <w:rPr>
                <w:rFonts w:hint="eastAsia" w:ascii="宋体" w:hAnsi="宋体"/>
                <w:b/>
                <w:bCs/>
                <w:color w:val="000000"/>
                <w:kern w:val="0"/>
                <w:sz w:val="22"/>
                <w:szCs w:val="22"/>
              </w:rPr>
              <w:t>地区（单位）</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项目名称</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kern w:val="0"/>
                <w:sz w:val="22"/>
                <w:szCs w:val="22"/>
              </w:rPr>
            </w:pPr>
            <w:r>
              <w:rPr>
                <w:rFonts w:hint="eastAsia" w:ascii="宋体" w:hAnsi="宋体"/>
                <w:b/>
                <w:bCs/>
                <w:color w:val="000000"/>
                <w:kern w:val="0"/>
                <w:sz w:val="22"/>
                <w:szCs w:val="22"/>
              </w:rPr>
              <w:t>知识产权创造运用保护</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地市小计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17285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601001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广州市小计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1239</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1000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239</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eastAsia="宋体"/>
                <w:color w:val="000000"/>
                <w:sz w:val="22"/>
                <w:szCs w:val="22"/>
              </w:rPr>
            </w:pP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2</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603001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珠海市小计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1186</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珠海市市场监督管理局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995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珠海市市场监督管理局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191</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3</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604001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汕头市小计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801</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汕头市市场监督管理局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685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汕头市市场监督管理局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116</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4</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605001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佛山市小计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1304</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佛山市市场监督管理局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1015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佛山市市场监督管理局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289</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5</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606001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韶关市小计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768</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韶关市市场监督管理局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550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韶关市市场监督管理局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218</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sz w:val="24"/>
              </w:rPr>
              <w:t>6</w:t>
            </w:r>
          </w:p>
        </w:tc>
        <w:tc>
          <w:tcPr>
            <w:tcW w:w="75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607001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河源市小计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648</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河源市市场监督管理局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380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东源县市场监督管理局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紫金县市场监督管理局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和平县市场监督管理局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龙川县市场监督管理局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连平县市场监督管理局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河源市市场监督管理局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218</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7</w:t>
            </w:r>
          </w:p>
        </w:tc>
        <w:tc>
          <w:tcPr>
            <w:tcW w:w="75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608001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梅州市小计</w:t>
            </w:r>
          </w:p>
        </w:tc>
        <w:tc>
          <w:tcPr>
            <w:tcW w:w="4136" w:type="dxa"/>
            <w:tcBorders>
              <w:top w:val="nil"/>
              <w:left w:val="nil"/>
              <w:bottom w:val="nil"/>
              <w:right w:val="nil"/>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723</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梅州市市场监督管理局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535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梅州市市场监督管理局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188</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8</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609001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惠州市小计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869</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惠州市市场监督管理局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600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惠州市市场监督管理局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269</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9</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610001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汕尾市小计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704</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汕尾市市场监督管理局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345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陆丰市市场监督管理局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海丰县市场监督管理局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75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陆河县市场监督管理局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汕尾市市场监督管理局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194</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10</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611001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东莞市小计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925</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东莞市市场监督管理局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695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东莞市市场监督管理局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230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11</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612001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中山市小计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865</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中山市市场监督管理局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685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中山市市场监督管理局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180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12</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613001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江门市小计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1274</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江门市市场监督管理局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1035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江门市市场监督管理局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169</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台山市市场监督管理局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恩平市市场监督管理局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鹤山市市场监督管理局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开平市市场监督管理局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13</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614001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阳江市小计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570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阳江市市场监督管理局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415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阳江市市场监督管理局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14</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615001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湛江市小计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1120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湛江市市场监督管理局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945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湛江市市场监督管理局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165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徐闻县市场监督管理局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15</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616001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茂名市小计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669</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茂名市市场监督管理局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435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化州市市场监督管理局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茂名市市场监督管理局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194</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16</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617001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肇庆市小计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776</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肇庆市市场监督管理局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585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肇庆市市场监督管理局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191</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17</w:t>
            </w:r>
          </w:p>
        </w:tc>
        <w:tc>
          <w:tcPr>
            <w:tcW w:w="756"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618001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清远市小计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720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清远市市场监督管理局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455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英德市市场监督管理局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连南县市场监督管理局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连州市市场监督管理局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佛冈县市场监督管理局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阳山县市场监督管理局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清远市市场监督管理局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124</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英德市市场监督管理局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连州市市场监督管理局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阳山县市场监督管理局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b/>
                <w:bCs/>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佛冈县市场监督管理局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18</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619001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潮州市小计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621</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潮州市市场监督管理局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505</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潮州市市场监督管理局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116</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19</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620001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揭阳市小计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703</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揭阳市市场监督管理局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520</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揭阳市市场监督管理局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183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20</w:t>
            </w: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4"/>
              </w:rPr>
            </w:pPr>
            <w:r>
              <w:rPr>
                <w:rFonts w:hint="eastAsia" w:ascii="宋体" w:hAnsi="宋体"/>
                <w:b/>
                <w:bCs/>
                <w:color w:val="000000"/>
                <w:kern w:val="0"/>
                <w:sz w:val="24"/>
              </w:rPr>
              <w:t>621001</w:t>
            </w: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b/>
                <w:bCs/>
                <w:color w:val="000000"/>
                <w:sz w:val="22"/>
                <w:szCs w:val="22"/>
              </w:rPr>
            </w:pPr>
            <w:r>
              <w:rPr>
                <w:rFonts w:hint="eastAsia" w:ascii="宋体" w:hAnsi="宋体"/>
                <w:b/>
                <w:bCs/>
                <w:color w:val="000000"/>
                <w:kern w:val="0"/>
                <w:sz w:val="22"/>
                <w:szCs w:val="22"/>
              </w:rPr>
              <w:t>云浮市小计</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b/>
                <w:bCs/>
                <w:color w:val="000000"/>
                <w:sz w:val="22"/>
                <w:szCs w:val="22"/>
              </w:rPr>
            </w:pP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b/>
                <w:bCs/>
                <w:color w:val="000000"/>
                <w:sz w:val="22"/>
                <w:szCs w:val="22"/>
              </w:rPr>
            </w:pPr>
            <w:r>
              <w:rPr>
                <w:rFonts w:hint="eastAsia" w:ascii="宋体" w:hAnsi="宋体"/>
                <w:b/>
                <w:bCs/>
                <w:color w:val="000000"/>
                <w:kern w:val="0"/>
                <w:sz w:val="22"/>
                <w:szCs w:val="22"/>
              </w:rPr>
              <w:t>800</w:t>
            </w:r>
          </w:p>
        </w:tc>
      </w:tr>
      <w:tr>
        <w:tblPrEx>
          <w:tblCellMar>
            <w:top w:w="0" w:type="dxa"/>
            <w:left w:w="0" w:type="dxa"/>
            <w:bottom w:w="0" w:type="dxa"/>
            <w:right w:w="0" w:type="dxa"/>
          </w:tblCellMar>
        </w:tblPrEx>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云浮市市场监督管理局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536</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新兴县市场监督管理局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罗定市市场监督管理局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郁南县市场监督管理局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2024年下放市县审批权限知识产权专项资金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13</w:t>
            </w:r>
          </w:p>
        </w:tc>
      </w:tr>
      <w:tr>
        <w:trPr>
          <w:trHeight w:val="285"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eastAsia="宋体"/>
                <w:color w:val="000000"/>
                <w:sz w:val="24"/>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云浮市市场监督管理局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112</w:t>
            </w:r>
          </w:p>
        </w:tc>
      </w:tr>
      <w:tr>
        <w:trPr>
          <w:trHeight w:val="27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罗定市市场监督管理局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49</w:t>
            </w:r>
          </w:p>
        </w:tc>
      </w:tr>
      <w:tr>
        <w:trPr>
          <w:trHeight w:val="27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新兴县市场监督管理局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18</w:t>
            </w:r>
          </w:p>
        </w:tc>
      </w:tr>
      <w:tr>
        <w:trPr>
          <w:trHeight w:val="270" w:hRule="atLeast"/>
        </w:trPr>
        <w:tc>
          <w:tcPr>
            <w:tcW w:w="56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75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eastAsia="宋体"/>
                <w:color w:val="000000"/>
                <w:sz w:val="22"/>
                <w:szCs w:val="22"/>
              </w:rPr>
            </w:pPr>
          </w:p>
        </w:tc>
        <w:tc>
          <w:tcPr>
            <w:tcW w:w="197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郁南县市场监督管理局</w:t>
            </w:r>
          </w:p>
        </w:tc>
        <w:tc>
          <w:tcPr>
            <w:tcW w:w="413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下放市县审批权限知识产权专项资金</w:t>
            </w:r>
          </w:p>
        </w:tc>
        <w:tc>
          <w:tcPr>
            <w:tcW w:w="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46</w:t>
            </w:r>
          </w:p>
        </w:tc>
      </w:tr>
    </w:tbl>
    <w:p>
      <w:pPr>
        <w:rPr>
          <w:rFonts w:ascii="Calibri" w:hAnsi="Calibri"/>
          <w:sz w:val="21"/>
          <w:szCs w:val="21"/>
        </w:rPr>
      </w:pPr>
      <w:r>
        <w:br w:type="page"/>
      </w:r>
    </w:p>
    <w:p>
      <w:pPr>
        <w:rPr>
          <w:rFonts w:eastAsia="黑体"/>
          <w:color w:val="000000"/>
        </w:rPr>
      </w:pPr>
      <w:r>
        <w:rPr>
          <w:rFonts w:hint="eastAsia" w:ascii="黑体" w:hAnsi="黑体" w:eastAsia="黑体"/>
          <w:color w:val="000000"/>
          <w:sz w:val="32"/>
          <w:szCs w:val="32"/>
        </w:rPr>
        <w:t>附件</w:t>
      </w:r>
      <w:r>
        <w:rPr>
          <w:rFonts w:hint="eastAsia" w:eastAsia="黑体"/>
          <w:color w:val="000000"/>
          <w:sz w:val="32"/>
          <w:szCs w:val="32"/>
        </w:rPr>
        <w:t>5</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r>
        <w:rPr>
          <w:rFonts w:hint="eastAsia" w:ascii="方正小标宋简体" w:eastAsia="方正小标宋简体"/>
          <w:color w:val="000000"/>
          <w:spacing w:val="-11"/>
          <w:sz w:val="36"/>
          <w:szCs w:val="36"/>
        </w:rPr>
        <w:t>（市场监督管理</w:t>
      </w:r>
      <w:r>
        <w:rPr>
          <w:rFonts w:eastAsia="方正小标宋简体"/>
          <w:color w:val="000000"/>
          <w:spacing w:val="-11"/>
          <w:sz w:val="36"/>
          <w:szCs w:val="36"/>
        </w:rPr>
        <w:t>-</w:t>
      </w:r>
    </w:p>
    <w:p>
      <w:pPr>
        <w:jc w:val="center"/>
        <w:rPr>
          <w:rFonts w:eastAsia="方正小标宋简体"/>
          <w:color w:val="000000"/>
          <w:spacing w:val="-11"/>
          <w:sz w:val="36"/>
          <w:szCs w:val="36"/>
        </w:rPr>
      </w:pPr>
      <w:r>
        <w:rPr>
          <w:rFonts w:hint="eastAsia" w:ascii="方正小标宋简体" w:eastAsia="方正小标宋简体"/>
          <w:color w:val="000000"/>
          <w:spacing w:val="-11"/>
          <w:sz w:val="36"/>
          <w:szCs w:val="36"/>
        </w:rPr>
        <w:t>政府质量奖）省本级资金明细分配表</w:t>
      </w:r>
    </w:p>
    <w:p>
      <w:pPr>
        <w:spacing w:line="240" w:lineRule="exact"/>
        <w:jc w:val="center"/>
        <w:rPr>
          <w:rFonts w:eastAsia="方正小标宋简体"/>
          <w:color w:val="000000"/>
          <w:spacing w:val="-11"/>
          <w:sz w:val="36"/>
          <w:szCs w:val="36"/>
        </w:rPr>
      </w:pPr>
      <w:r>
        <w:rPr>
          <w:rFonts w:eastAsia="方正小标宋简体"/>
          <w:color w:val="000000"/>
          <w:spacing w:val="-11"/>
          <w:sz w:val="36"/>
          <w:szCs w:val="36"/>
        </w:rPr>
        <w:t xml:space="preserve"> </w:t>
      </w:r>
    </w:p>
    <w:p>
      <w:pPr>
        <w:spacing w:line="320" w:lineRule="exact"/>
        <w:jc w:val="right"/>
        <w:rPr>
          <w:rFonts w:eastAsia="宋体"/>
          <w:color w:val="000000"/>
          <w:sz w:val="24"/>
        </w:rPr>
      </w:pPr>
      <w:r>
        <w:rPr>
          <w:rFonts w:hint="eastAsia" w:ascii="仿宋_GB2312"/>
          <w:color w:val="000000"/>
          <w:sz w:val="24"/>
        </w:rPr>
        <w:t>单位：万元</w:t>
      </w:r>
    </w:p>
    <w:tbl>
      <w:tblPr>
        <w:tblStyle w:val="4"/>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4306"/>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预算代码</w:t>
            </w:r>
          </w:p>
        </w:tc>
        <w:tc>
          <w:tcPr>
            <w:tcW w:w="4306"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单位</w:t>
            </w:r>
          </w:p>
        </w:tc>
        <w:tc>
          <w:tcPr>
            <w:tcW w:w="2443"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宋体"/>
                <w:color w:val="000000"/>
                <w:kern w:val="0"/>
                <w:sz w:val="24"/>
              </w:rPr>
            </w:pPr>
            <w:r>
              <w:rPr>
                <w:color w:val="000000"/>
                <w:kern w:val="0"/>
                <w:sz w:val="24"/>
              </w:rPr>
              <w:t>118001</w:t>
            </w:r>
          </w:p>
        </w:tc>
        <w:tc>
          <w:tcPr>
            <w:tcW w:w="4306"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广东省市场监督管理局</w:t>
            </w:r>
          </w:p>
        </w:tc>
        <w:tc>
          <w:tcPr>
            <w:tcW w:w="2443"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2500</w:t>
            </w:r>
          </w:p>
        </w:tc>
      </w:tr>
    </w:tbl>
    <w:p>
      <w:pPr>
        <w:rPr>
          <w:rFonts w:eastAsia="黑体"/>
          <w:color w:val="000000"/>
          <w:sz w:val="32"/>
          <w:szCs w:val="32"/>
        </w:rPr>
      </w:pPr>
      <w:r>
        <w:rPr>
          <w:rFonts w:hint="eastAsia" w:eastAsia="黑体"/>
          <w:color w:val="000000"/>
          <w:sz w:val="32"/>
          <w:szCs w:val="32"/>
        </w:rPr>
        <w:br w:type="page"/>
      </w:r>
    </w:p>
    <w:p>
      <w:pPr>
        <w:rPr>
          <w:rFonts w:eastAsia="黑体"/>
          <w:color w:val="000000"/>
          <w:sz w:val="21"/>
          <w:szCs w:val="21"/>
        </w:rPr>
      </w:pPr>
      <w:r>
        <w:rPr>
          <w:rFonts w:hint="eastAsia" w:ascii="黑体" w:hAnsi="黑体" w:eastAsia="黑体"/>
          <w:color w:val="000000"/>
          <w:sz w:val="32"/>
          <w:szCs w:val="32"/>
        </w:rPr>
        <w:t>附件</w:t>
      </w:r>
      <w:r>
        <w:rPr>
          <w:rFonts w:hint="eastAsia" w:eastAsia="黑体"/>
          <w:color w:val="000000"/>
          <w:sz w:val="32"/>
          <w:szCs w:val="32"/>
        </w:rPr>
        <w:t>6</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r>
        <w:rPr>
          <w:rFonts w:hint="eastAsia" w:ascii="方正小标宋简体" w:eastAsia="方正小标宋简体"/>
          <w:color w:val="000000"/>
          <w:spacing w:val="-11"/>
          <w:sz w:val="36"/>
          <w:szCs w:val="36"/>
        </w:rPr>
        <w:t>（市场监督管理</w:t>
      </w:r>
      <w:r>
        <w:rPr>
          <w:rFonts w:eastAsia="方正小标宋简体"/>
          <w:color w:val="000000"/>
          <w:spacing w:val="-11"/>
          <w:sz w:val="36"/>
          <w:szCs w:val="36"/>
        </w:rPr>
        <w:t>-</w:t>
      </w:r>
    </w:p>
    <w:p>
      <w:pPr>
        <w:jc w:val="center"/>
        <w:rPr>
          <w:rFonts w:eastAsia="方正小标宋简体"/>
          <w:color w:val="000000"/>
          <w:spacing w:val="-11"/>
          <w:sz w:val="36"/>
          <w:szCs w:val="36"/>
        </w:rPr>
      </w:pPr>
      <w:r>
        <w:rPr>
          <w:rFonts w:ascii="方正小标宋简体" w:eastAsia="方正小标宋简体" w:cs="方正小标宋简体"/>
          <w:color w:val="000000"/>
          <w:sz w:val="36"/>
          <w:szCs w:val="36"/>
        </w:rPr>
        <w:t>国家质检中心计量测试中心和重点实验室补助</w:t>
      </w:r>
      <w:r>
        <w:rPr>
          <w:rFonts w:hint="eastAsia" w:ascii="方正小标宋简体" w:eastAsia="方正小标宋简体"/>
          <w:color w:val="000000"/>
          <w:spacing w:val="-11"/>
          <w:sz w:val="36"/>
          <w:szCs w:val="36"/>
        </w:rPr>
        <w:t>）省本级资金明细分配表</w:t>
      </w:r>
    </w:p>
    <w:p>
      <w:pPr>
        <w:spacing w:line="240" w:lineRule="exact"/>
        <w:jc w:val="center"/>
        <w:rPr>
          <w:rFonts w:eastAsia="方正小标宋简体"/>
          <w:color w:val="000000"/>
          <w:spacing w:val="-11"/>
          <w:sz w:val="36"/>
          <w:szCs w:val="36"/>
        </w:rPr>
      </w:pPr>
      <w:r>
        <w:rPr>
          <w:rFonts w:eastAsia="方正小标宋简体"/>
          <w:color w:val="000000"/>
          <w:spacing w:val="-11"/>
          <w:sz w:val="36"/>
          <w:szCs w:val="36"/>
        </w:rPr>
        <w:t xml:space="preserve"> </w:t>
      </w:r>
    </w:p>
    <w:p>
      <w:pPr>
        <w:spacing w:line="320" w:lineRule="exact"/>
        <w:jc w:val="right"/>
        <w:rPr>
          <w:rFonts w:eastAsia="宋体"/>
          <w:color w:val="000000"/>
          <w:sz w:val="24"/>
        </w:rPr>
      </w:pPr>
      <w:r>
        <w:rPr>
          <w:rFonts w:hint="eastAsia" w:ascii="仿宋_GB2312"/>
          <w:color w:val="000000"/>
          <w:sz w:val="24"/>
        </w:rPr>
        <w:t>单位：万元</w:t>
      </w:r>
    </w:p>
    <w:tbl>
      <w:tblPr>
        <w:tblStyle w:val="4"/>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4306"/>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预算代码</w:t>
            </w:r>
          </w:p>
        </w:tc>
        <w:tc>
          <w:tcPr>
            <w:tcW w:w="4306"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单位</w:t>
            </w:r>
          </w:p>
        </w:tc>
        <w:tc>
          <w:tcPr>
            <w:tcW w:w="2443"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宋体"/>
                <w:color w:val="000000"/>
                <w:kern w:val="0"/>
                <w:sz w:val="24"/>
              </w:rPr>
            </w:pPr>
            <w:r>
              <w:rPr>
                <w:color w:val="000000"/>
                <w:kern w:val="0"/>
                <w:sz w:val="24"/>
              </w:rPr>
              <w:t>118001</w:t>
            </w:r>
          </w:p>
        </w:tc>
        <w:tc>
          <w:tcPr>
            <w:tcW w:w="4306"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广东省市场监督管理局</w:t>
            </w:r>
          </w:p>
        </w:tc>
        <w:tc>
          <w:tcPr>
            <w:tcW w:w="2443"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1000</w:t>
            </w:r>
          </w:p>
        </w:tc>
      </w:tr>
    </w:tbl>
    <w:p>
      <w:pPr>
        <w:rPr>
          <w:rFonts w:eastAsia="黑体"/>
          <w:color w:val="000000"/>
          <w:sz w:val="32"/>
          <w:szCs w:val="32"/>
        </w:rPr>
      </w:pPr>
      <w:r>
        <w:rPr>
          <w:rFonts w:hint="eastAsia" w:eastAsia="黑体"/>
          <w:color w:val="000000"/>
          <w:sz w:val="32"/>
          <w:szCs w:val="32"/>
        </w:rPr>
        <w:br w:type="page"/>
      </w:r>
    </w:p>
    <w:p>
      <w:pPr>
        <w:rPr>
          <w:rFonts w:eastAsia="黑体"/>
          <w:color w:val="000000"/>
          <w:sz w:val="21"/>
          <w:szCs w:val="21"/>
        </w:rPr>
      </w:pPr>
      <w:r>
        <w:rPr>
          <w:rFonts w:hint="eastAsia" w:ascii="黑体" w:hAnsi="黑体" w:eastAsia="黑体"/>
          <w:color w:val="000000"/>
          <w:sz w:val="32"/>
          <w:szCs w:val="32"/>
        </w:rPr>
        <w:t>附件</w:t>
      </w:r>
      <w:r>
        <w:rPr>
          <w:rFonts w:hint="eastAsia" w:eastAsia="黑体"/>
          <w:color w:val="000000"/>
          <w:sz w:val="32"/>
          <w:szCs w:val="32"/>
        </w:rPr>
        <w:t>7</w:t>
      </w:r>
    </w:p>
    <w:p>
      <w:pPr>
        <w:jc w:val="center"/>
        <w:rPr>
          <w:rFonts w:eastAsia="方正小标宋简体"/>
          <w:color w:val="000000"/>
          <w:sz w:val="36"/>
          <w:szCs w:val="36"/>
        </w:rPr>
      </w:pPr>
      <w:r>
        <w:rPr>
          <w:rFonts w:eastAsia="方正小标宋简体"/>
          <w:color w:val="000000"/>
          <w:sz w:val="36"/>
          <w:szCs w:val="36"/>
        </w:rPr>
        <w:t>202</w:t>
      </w:r>
      <w:r>
        <w:rPr>
          <w:rFonts w:hint="eastAsia" w:eastAsia="方正小标宋简体"/>
          <w:color w:val="000000"/>
          <w:sz w:val="36"/>
          <w:szCs w:val="36"/>
        </w:rPr>
        <w:t>4</w:t>
      </w:r>
      <w:r>
        <w:rPr>
          <w:rFonts w:hint="eastAsia" w:ascii="方正小标宋简体" w:eastAsia="方正小标宋简体"/>
          <w:color w:val="000000"/>
          <w:sz w:val="36"/>
          <w:szCs w:val="36"/>
        </w:rPr>
        <w:t>年促进经济高质量发展专项资金</w:t>
      </w:r>
      <w:r>
        <w:rPr>
          <w:rFonts w:hint="eastAsia" w:ascii="方正小标宋简体" w:eastAsia="方正小标宋简体"/>
          <w:color w:val="000000"/>
          <w:spacing w:val="-11"/>
          <w:sz w:val="36"/>
          <w:szCs w:val="36"/>
        </w:rPr>
        <w:t>（市场监督管理</w:t>
      </w:r>
      <w:r>
        <w:rPr>
          <w:rFonts w:eastAsia="方正小标宋简体"/>
          <w:color w:val="000000"/>
          <w:spacing w:val="-11"/>
          <w:sz w:val="36"/>
          <w:szCs w:val="36"/>
        </w:rPr>
        <w:t>-</w:t>
      </w:r>
    </w:p>
    <w:p>
      <w:pPr>
        <w:jc w:val="center"/>
        <w:rPr>
          <w:rFonts w:eastAsia="方正小标宋简体"/>
          <w:color w:val="000000"/>
          <w:spacing w:val="-11"/>
          <w:sz w:val="36"/>
          <w:szCs w:val="36"/>
        </w:rPr>
      </w:pPr>
      <w:r>
        <w:rPr>
          <w:rFonts w:hint="eastAsia" w:ascii="方正小标宋简体" w:eastAsia="方正小标宋简体"/>
          <w:color w:val="000000"/>
          <w:spacing w:val="-11"/>
          <w:sz w:val="36"/>
          <w:szCs w:val="36"/>
        </w:rPr>
        <w:t>）省本级资金明细分配表</w:t>
      </w:r>
    </w:p>
    <w:p>
      <w:pPr>
        <w:spacing w:line="240" w:lineRule="exact"/>
        <w:jc w:val="center"/>
        <w:rPr>
          <w:rFonts w:eastAsia="方正小标宋简体"/>
          <w:color w:val="000000"/>
          <w:spacing w:val="-11"/>
          <w:sz w:val="36"/>
          <w:szCs w:val="36"/>
        </w:rPr>
      </w:pPr>
      <w:r>
        <w:rPr>
          <w:rFonts w:eastAsia="方正小标宋简体"/>
          <w:color w:val="000000"/>
          <w:spacing w:val="-11"/>
          <w:sz w:val="36"/>
          <w:szCs w:val="36"/>
        </w:rPr>
        <w:t xml:space="preserve"> </w:t>
      </w:r>
    </w:p>
    <w:p>
      <w:pPr>
        <w:spacing w:line="320" w:lineRule="exact"/>
        <w:jc w:val="right"/>
        <w:rPr>
          <w:rFonts w:eastAsia="宋体"/>
          <w:color w:val="000000"/>
          <w:sz w:val="24"/>
        </w:rPr>
      </w:pPr>
      <w:r>
        <w:rPr>
          <w:rFonts w:hint="eastAsia" w:ascii="仿宋_GB2312"/>
          <w:color w:val="000000"/>
          <w:sz w:val="24"/>
        </w:rPr>
        <w:t>单位：万元</w:t>
      </w:r>
    </w:p>
    <w:tbl>
      <w:tblPr>
        <w:tblStyle w:val="4"/>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4306"/>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预算代码</w:t>
            </w:r>
          </w:p>
        </w:tc>
        <w:tc>
          <w:tcPr>
            <w:tcW w:w="4306"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单位</w:t>
            </w:r>
          </w:p>
        </w:tc>
        <w:tc>
          <w:tcPr>
            <w:tcW w:w="2443" w:type="dxa"/>
            <w:tcBorders>
              <w:top w:val="single" w:color="auto" w:sz="4" w:space="0"/>
              <w:left w:val="nil"/>
              <w:bottom w:val="single" w:color="auto" w:sz="4" w:space="0"/>
              <w:right w:val="single" w:color="auto" w:sz="4" w:space="0"/>
            </w:tcBorders>
            <w:vAlign w:val="center"/>
          </w:tcPr>
          <w:p>
            <w:pPr>
              <w:widowControl/>
              <w:jc w:val="center"/>
              <w:textAlignment w:val="center"/>
              <w:rPr>
                <w:rFonts w:eastAsia="黑体" w:cs="黑体"/>
                <w:color w:val="000000"/>
                <w:kern w:val="0"/>
                <w:sz w:val="24"/>
              </w:rPr>
            </w:pPr>
            <w:r>
              <w:rPr>
                <w:rFonts w:hint="eastAsia" w:eastAsia="黑体"/>
                <w:color w:val="000000"/>
                <w:kern w:val="0"/>
                <w:sz w:val="24"/>
              </w:rPr>
              <w:t>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3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eastAsia="宋体"/>
                <w:color w:val="000000"/>
                <w:kern w:val="0"/>
                <w:sz w:val="24"/>
              </w:rPr>
            </w:pPr>
            <w:r>
              <w:rPr>
                <w:color w:val="000000"/>
                <w:kern w:val="0"/>
                <w:sz w:val="24"/>
              </w:rPr>
              <w:t>118001</w:t>
            </w:r>
          </w:p>
        </w:tc>
        <w:tc>
          <w:tcPr>
            <w:tcW w:w="4306"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广东省市场监督管理局</w:t>
            </w:r>
          </w:p>
        </w:tc>
        <w:tc>
          <w:tcPr>
            <w:tcW w:w="2443" w:type="dxa"/>
            <w:tcBorders>
              <w:top w:val="single" w:color="auto" w:sz="4" w:space="0"/>
              <w:left w:val="nil"/>
              <w:bottom w:val="single" w:color="auto" w:sz="4" w:space="0"/>
              <w:right w:val="single" w:color="auto" w:sz="4" w:space="0"/>
            </w:tcBorders>
            <w:vAlign w:val="center"/>
          </w:tcPr>
          <w:p>
            <w:pPr>
              <w:jc w:val="center"/>
              <w:rPr>
                <w:rFonts w:eastAsia="宋体"/>
                <w:color w:val="000000"/>
                <w:kern w:val="0"/>
                <w:sz w:val="24"/>
              </w:rPr>
            </w:pPr>
            <w:r>
              <w:rPr>
                <w:rFonts w:hint="eastAsia"/>
                <w:color w:val="000000"/>
                <w:sz w:val="24"/>
              </w:rPr>
              <w:t>2500</w:t>
            </w:r>
          </w:p>
        </w:tc>
      </w:tr>
    </w:tbl>
    <w:p>
      <w:pPr>
        <w:rPr>
          <w:rFonts w:eastAsia="黑体"/>
          <w:color w:val="000000"/>
          <w:sz w:val="32"/>
          <w:szCs w:val="32"/>
        </w:rPr>
      </w:pPr>
      <w:r>
        <w:rPr>
          <w:rFonts w:hint="eastAsia" w:eastAsia="黑体"/>
          <w:color w:val="000000"/>
          <w:sz w:val="32"/>
          <w:szCs w:val="32"/>
        </w:rPr>
        <w:br w:type="page"/>
      </w:r>
    </w:p>
    <w:p>
      <w:pPr>
        <w:widowControl/>
        <w:jc w:val="left"/>
        <w:rPr>
          <w:rFonts w:ascii="宋体" w:hAnsi="宋体" w:eastAsia="宋体" w:cs="宋体"/>
          <w:color w:val="333333"/>
          <w:kern w:val="0"/>
          <w:sz w:val="32"/>
          <w:szCs w:val="32"/>
        </w:rPr>
      </w:pPr>
      <w:r>
        <w:rPr>
          <w:color w:val="333333"/>
          <w:sz w:val="32"/>
          <w:szCs w:val="32"/>
        </w:rPr>
        <w:br w:type="page"/>
      </w:r>
    </w:p>
    <w:p>
      <w:pPr>
        <w:pStyle w:val="3"/>
        <w:shd w:val="clear" w:color="auto" w:fill="FFFFFF"/>
        <w:spacing w:before="0" w:beforeAutospacing="0" w:after="0" w:afterAutospacing="0" w:line="600" w:lineRule="atLeast"/>
        <w:jc w:val="right"/>
        <w:rPr>
          <w:color w:val="333333"/>
          <w:sz w:val="32"/>
          <w:szCs w:val="32"/>
        </w:rPr>
        <w:sectPr>
          <w:pgSz w:w="11906" w:h="16838"/>
          <w:pgMar w:top="1440" w:right="1797" w:bottom="1440" w:left="1797" w:header="851" w:footer="992" w:gutter="0"/>
          <w:cols w:space="425" w:num="1"/>
          <w:docGrid w:type="lines" w:linePitch="312" w:charSpace="0"/>
        </w:sectPr>
      </w:pPr>
    </w:p>
    <w:p>
      <w:pPr>
        <w:jc w:val="left"/>
        <w:rPr>
          <w:rFonts w:hint="eastAsia" w:eastAsia="黑体"/>
          <w:color w:val="000000"/>
          <w:sz w:val="32"/>
          <w:szCs w:val="32"/>
        </w:rPr>
      </w:pPr>
      <w:r>
        <w:rPr>
          <w:rFonts w:hint="eastAsia" w:eastAsia="黑体"/>
          <w:color w:val="000000"/>
          <w:sz w:val="32"/>
          <w:szCs w:val="32"/>
        </w:rPr>
        <w:t>附件8</w:t>
      </w:r>
    </w:p>
    <w:p>
      <w:pPr>
        <w:jc w:val="center"/>
        <w:rPr>
          <w:rFonts w:eastAsia="黑体"/>
          <w:color w:val="000000"/>
          <w:sz w:val="32"/>
          <w:szCs w:val="32"/>
        </w:rPr>
      </w:pPr>
      <w:r>
        <w:rPr>
          <w:rFonts w:hint="eastAsia" w:eastAsia="黑体"/>
          <w:color w:val="000000"/>
          <w:sz w:val="32"/>
          <w:szCs w:val="32"/>
        </w:rPr>
        <w:t>2024年省级财政专项资金目录清单</w:t>
      </w:r>
    </w:p>
    <w:tbl>
      <w:tblPr>
        <w:tblStyle w:val="4"/>
        <w:tblW w:w="5000" w:type="pct"/>
        <w:tblInd w:w="0" w:type="dxa"/>
        <w:tblLayout w:type="autofit"/>
        <w:tblCellMar>
          <w:top w:w="0" w:type="dxa"/>
          <w:left w:w="108" w:type="dxa"/>
          <w:bottom w:w="0" w:type="dxa"/>
          <w:right w:w="108" w:type="dxa"/>
        </w:tblCellMar>
      </w:tblPr>
      <w:tblGrid>
        <w:gridCol w:w="636"/>
        <w:gridCol w:w="456"/>
        <w:gridCol w:w="456"/>
        <w:gridCol w:w="1870"/>
        <w:gridCol w:w="2019"/>
        <w:gridCol w:w="876"/>
        <w:gridCol w:w="876"/>
        <w:gridCol w:w="876"/>
        <w:gridCol w:w="457"/>
      </w:tblGrid>
      <w:tr>
        <w:tblPrEx>
          <w:tblCellMar>
            <w:top w:w="0" w:type="dxa"/>
            <w:left w:w="108" w:type="dxa"/>
            <w:bottom w:w="0" w:type="dxa"/>
            <w:right w:w="108" w:type="dxa"/>
          </w:tblCellMar>
        </w:tblPrEx>
        <w:trPr>
          <w:trHeight w:val="800" w:hRule="atLeast"/>
          <w:tblHeader/>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专项资金名称</w:t>
            </w:r>
          </w:p>
        </w:tc>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财政事权</w:t>
            </w:r>
          </w:p>
        </w:tc>
        <w:tc>
          <w:tcPr>
            <w:tcW w:w="5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政策任务</w:t>
            </w:r>
          </w:p>
        </w:tc>
        <w:tc>
          <w:tcPr>
            <w:tcW w:w="16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主要用途</w:t>
            </w:r>
          </w:p>
        </w:tc>
        <w:tc>
          <w:tcPr>
            <w:tcW w:w="14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绩效目标</w:t>
            </w:r>
          </w:p>
        </w:tc>
        <w:tc>
          <w:tcPr>
            <w:tcW w:w="1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资金</w:t>
            </w:r>
            <w:r>
              <w:rPr>
                <w:rFonts w:hint="eastAsia" w:ascii="黑体" w:hAnsi="黑体" w:eastAsia="黑体" w:cs="宋体"/>
                <w:color w:val="000000"/>
                <w:kern w:val="0"/>
                <w:sz w:val="24"/>
              </w:rPr>
              <w:br w:type="textWrapping"/>
            </w:r>
            <w:r>
              <w:rPr>
                <w:rFonts w:ascii="黑体" w:hAnsi="黑体" w:eastAsia="黑体" w:cs="宋体"/>
                <w:color w:val="000000"/>
                <w:kern w:val="0"/>
                <w:sz w:val="24"/>
              </w:rPr>
              <w:t>额度</w:t>
            </w:r>
          </w:p>
        </w:tc>
        <w:tc>
          <w:tcPr>
            <w:tcW w:w="3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审批权限设置（额度）</w:t>
            </w:r>
          </w:p>
        </w:tc>
        <w:tc>
          <w:tcPr>
            <w:tcW w:w="1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备注</w:t>
            </w:r>
          </w:p>
        </w:tc>
      </w:tr>
      <w:tr>
        <w:tblPrEx>
          <w:tblCellMar>
            <w:top w:w="0" w:type="dxa"/>
            <w:left w:w="108" w:type="dxa"/>
            <w:bottom w:w="0" w:type="dxa"/>
            <w:right w:w="108" w:type="dxa"/>
          </w:tblCellMar>
        </w:tblPrEx>
        <w:trPr>
          <w:trHeight w:val="660" w:hRule="atLeast"/>
          <w:tblHeader/>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（战略领域名称）</w:t>
            </w:r>
          </w:p>
        </w:tc>
        <w:tc>
          <w:tcPr>
            <w:tcW w:w="343"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c>
          <w:tcPr>
            <w:tcW w:w="52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c>
          <w:tcPr>
            <w:tcW w:w="163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c>
          <w:tcPr>
            <w:tcW w:w="140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c>
          <w:tcPr>
            <w:tcW w:w="18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保留省级审批</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下放市县审批</w:t>
            </w:r>
          </w:p>
        </w:tc>
        <w:tc>
          <w:tcPr>
            <w:tcW w:w="1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黑体" w:hAnsi="黑体" w:eastAsia="黑体" w:cs="宋体"/>
                <w:color w:val="000000"/>
                <w:kern w:val="0"/>
                <w:sz w:val="24"/>
              </w:rPr>
            </w:pPr>
          </w:p>
        </w:tc>
      </w:tr>
      <w:tr>
        <w:tblPrEx>
          <w:tblCellMar>
            <w:top w:w="0" w:type="dxa"/>
            <w:left w:w="108" w:type="dxa"/>
            <w:bottom w:w="0" w:type="dxa"/>
            <w:right w:w="108" w:type="dxa"/>
          </w:tblCellMar>
        </w:tblPrEx>
        <w:trPr>
          <w:trHeight w:val="228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食品安全监管</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用于开展食品抽检及监管工作，完成年度食品安全抽检及风险监测任务，推进食用农产品快速检测，强化食品生产经营环节监管，对重点食品开展专项监管和问题整治，组织省级应急管理示范性演练、食品安全示范创建、食品安全宣传、食品安全工作相关对策研究和建设等，督促推动食品安全属地管理责任和企业食品安全主体责任落实。</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全面落实监管责任，保障食品安全。对食品实行严格监管，不断完善和加强食品安全抽检监测工作。逐步实现对高风险食品食品安全有效管控，实现重点食品质量有较大提升的工作目标。人民群众的满足感不断增强，地方政府落实主体责任意识不断增强，食品安全风险管控水平逐步提高，不断促进辖区食品产业健康有序发展，市场环境得到进一步净化。</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24,188</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13,720</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10,468</w:t>
            </w:r>
          </w:p>
        </w:tc>
        <w:tc>
          <w:tcPr>
            <w:tcW w:w="16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rPr>
                <w:rFonts w:ascii="仿宋_GB2312" w:hAnsi="宋体" w:cs="宋体"/>
                <w:color w:val="000000"/>
                <w:kern w:val="0"/>
                <w:sz w:val="24"/>
              </w:rPr>
            </w:pPr>
          </w:p>
        </w:tc>
      </w:tr>
      <w:tr>
        <w:tblPrEx>
          <w:tblCellMar>
            <w:top w:w="0" w:type="dxa"/>
            <w:left w:w="108" w:type="dxa"/>
            <w:bottom w:w="0" w:type="dxa"/>
            <w:right w:w="108" w:type="dxa"/>
          </w:tblCellMar>
        </w:tblPrEx>
        <w:trPr>
          <w:trHeight w:val="274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知识产权创造运用及保护</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推动知识产权</w:t>
            </w:r>
            <w:r>
              <w:rPr>
                <w:rFonts w:ascii="仿宋_GB2312" w:hAnsi="宋体" w:cs="宋体"/>
                <w:color w:val="000000"/>
                <w:kern w:val="0"/>
                <w:sz w:val="24"/>
              </w:rPr>
              <w:t>“放管服”改革和区域布局、知识产权高质量发展、严格知识产权保护、知识产权高效运用、建立便民利民的知识产权公共服务体系、知识产权省部共建等方向。开展中国专利奖嘉奖；开展广东专利奖奖励；开展广东专利奖评审及广东省专利奖表彰相关工作。加快完善知识产权保护体系，提升知识产权行政裁决效能，加强知识产权纠纷多元化解决，加强知识产权保护协作，提升基层知识产权保护能力，加强重点领域、关键环节知识产权保护，加强地理标志产品保护，加强知识产权海外维权援助工作。</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深化知识产权领域</w:t>
            </w:r>
            <w:r>
              <w:rPr>
                <w:rFonts w:ascii="仿宋_GB2312" w:hAnsi="宋体" w:cs="宋体"/>
                <w:color w:val="000000"/>
                <w:kern w:val="0"/>
                <w:sz w:val="24"/>
              </w:rPr>
              <w:t>“放管服”改革，全面提升知识产权创造质量、保护效果、运用效益、管理水平、服务能力和国际影响力，加快建设引领型知识产权强省。激励创新，促进知识产权高质量创造、高效率运用及全链条保护，为广东创新发展提供支撑。完成2024年度国家和省委、省政府知识产权保护工作各项工作部署，加快完善知识产权保护体系，提升知识产权行政裁决效能，加强知识产权纠纷多元化解决，加强知识产权保护协作，加强重点领域、关键环节知识产权保护，加强地理标志产品保护，提升知识产权保护资金使用绩效。</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40,000</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22,715</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17,285</w:t>
            </w:r>
          </w:p>
        </w:tc>
        <w:tc>
          <w:tcPr>
            <w:tcW w:w="16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rPr>
                <w:rFonts w:ascii="仿宋_GB2312" w:hAnsi="宋体" w:cs="宋体"/>
                <w:color w:val="000000"/>
                <w:kern w:val="0"/>
                <w:sz w:val="24"/>
              </w:rPr>
            </w:pPr>
          </w:p>
        </w:tc>
      </w:tr>
      <w:tr>
        <w:tblPrEx>
          <w:tblCellMar>
            <w:top w:w="0" w:type="dxa"/>
            <w:left w:w="108" w:type="dxa"/>
            <w:bottom w:w="0" w:type="dxa"/>
            <w:right w:w="108" w:type="dxa"/>
          </w:tblCellMar>
        </w:tblPrEx>
        <w:trPr>
          <w:trHeight w:val="182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质量基础强化</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加强省质检站、省产业计量测试中心、、省级标准实验室等公共技术服务平台建设，建立健全先进标准体系。</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提升省质检站、省产业计量测试中心、省级标准实验室等公共技术服务平台服务能力。提升参与标准化活动的主动性、有效性，提升标准化服务业能力；完善粤港澳大湾区区域标准化合作机制，强化广东先进标准对</w:t>
            </w:r>
            <w:r>
              <w:rPr>
                <w:rFonts w:ascii="仿宋_GB2312" w:hAnsi="宋体" w:cs="宋体"/>
                <w:color w:val="000000"/>
                <w:kern w:val="0"/>
                <w:sz w:val="24"/>
              </w:rPr>
              <w:t>“一带一路”沿线国家和地区影响力。</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6,629</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6,629</w:t>
            </w:r>
          </w:p>
        </w:tc>
        <w:tc>
          <w:tcPr>
            <w:tcW w:w="17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rPr>
                <w:rFonts w:eastAsia="宋体"/>
                <w:color w:val="000000"/>
                <w:kern w:val="0"/>
                <w:sz w:val="24"/>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rPr>
                <w:rFonts w:ascii="仿宋_GB2312" w:hAnsi="宋体" w:cs="宋体"/>
                <w:color w:val="000000"/>
                <w:kern w:val="0"/>
                <w:sz w:val="24"/>
              </w:rPr>
            </w:pPr>
          </w:p>
        </w:tc>
      </w:tr>
      <w:tr>
        <w:tblPrEx>
          <w:tblCellMar>
            <w:top w:w="0" w:type="dxa"/>
            <w:left w:w="108" w:type="dxa"/>
            <w:bottom w:w="0" w:type="dxa"/>
            <w:right w:w="108" w:type="dxa"/>
          </w:tblCellMar>
        </w:tblPrEx>
        <w:trPr>
          <w:trHeight w:val="162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产品质量安全监管</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用于对广东生产领域、流通领域、经营性服务领域的产品质量开展监督抽查、产品质量安全监管、产品伤害监测推动质量强省各项工作落实，开展合格率统计调查及缺陷召回等工作。</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完成国家、省年度产品质量监管各项工作部署。全面落实监管责任，不断完善和加强产品质量监督抽查和质量监管工作；加强对产品质量抽查数据的分析利用；持续开展产品伤害监测。</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8,994</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8,994</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p>
        </w:tc>
      </w:tr>
      <w:tr>
        <w:tblPrEx>
          <w:tblCellMar>
            <w:top w:w="0" w:type="dxa"/>
            <w:left w:w="108" w:type="dxa"/>
            <w:bottom w:w="0" w:type="dxa"/>
            <w:right w:w="108" w:type="dxa"/>
          </w:tblCellMar>
        </w:tblPrEx>
        <w:trPr>
          <w:trHeight w:val="174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政府质量奖</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根据《广东省政府质量奖管理办法（粤府办</w:t>
            </w:r>
            <w:r>
              <w:rPr>
                <w:rFonts w:hint="eastAsia" w:ascii="宋体" w:hAnsi="宋体" w:eastAsia="宋体" w:cs="宋体"/>
                <w:color w:val="000000"/>
                <w:kern w:val="0"/>
                <w:sz w:val="24"/>
              </w:rPr>
              <w:t>﹝</w:t>
            </w:r>
            <w:r>
              <w:rPr>
                <w:rFonts w:ascii="仿宋_GB2312" w:hAnsi="宋体" w:cs="宋体"/>
                <w:color w:val="000000"/>
                <w:kern w:val="0"/>
                <w:sz w:val="24"/>
              </w:rPr>
              <w:t>2021</w:t>
            </w:r>
            <w:r>
              <w:rPr>
                <w:rFonts w:hint="eastAsia" w:ascii="宋体" w:hAnsi="宋体" w:eastAsia="宋体" w:cs="宋体"/>
                <w:color w:val="000000"/>
                <w:kern w:val="0"/>
                <w:sz w:val="24"/>
              </w:rPr>
              <w:t>﹞</w:t>
            </w:r>
            <w:r>
              <w:rPr>
                <w:rFonts w:ascii="仿宋_GB2312" w:hAnsi="宋体" w:cs="宋体"/>
                <w:color w:val="000000"/>
                <w:kern w:val="0"/>
                <w:sz w:val="24"/>
              </w:rPr>
              <w:t>55号），由广东省人民政府设立，授予在创建先进质量管理模式、推广先进质量理念、推行科学质量管理方法成效突出，具有显著的示范带动作用，对广东质量强省建设做出突出贡献的组织和个人。奖励对象包括省政府质量奖、中国质量奖和中国质量奖提名奖。</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对获得中国质量奖及广东省政府质量奖的组织及个人进行资助，支持优秀企业和个人在质量领域加大质量投入，提升质量管理水平，有利于引领全社会树立质量第一理念，推广应用先进质量管理方法，促进我省产业发展提质增效。</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2,500</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2,500</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p>
        </w:tc>
      </w:tr>
      <w:tr>
        <w:tblPrEx>
          <w:tblCellMar>
            <w:top w:w="0" w:type="dxa"/>
            <w:left w:w="108" w:type="dxa"/>
            <w:bottom w:w="0" w:type="dxa"/>
            <w:right w:w="108" w:type="dxa"/>
          </w:tblCellMar>
        </w:tblPrEx>
        <w:trPr>
          <w:trHeight w:val="1200" w:hRule="atLeast"/>
        </w:trPr>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市场监督管理</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国家质检中心计量测试中心和重点实验室补助</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用于对国家碳计量中心（广东）购置专用设备仪器，为构建健全碳达峰碳中和标准计量体系提供技术支撑。</w:t>
            </w:r>
          </w:p>
        </w:tc>
        <w:tc>
          <w:tcPr>
            <w:tcW w:w="14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购置</w:t>
            </w:r>
            <w:r>
              <w:rPr>
                <w:rFonts w:ascii="仿宋_GB2312" w:hAnsi="宋体" w:cs="宋体"/>
                <w:color w:val="000000"/>
                <w:kern w:val="0"/>
                <w:sz w:val="24"/>
              </w:rPr>
              <w:t>40台(套)碳计量相关溯源、检测、化验、分析仪器设备，搭建碳计量公共服务平台、加强碳计量数据的评价和应用等任务。</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1,000</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1,000</w:t>
            </w: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p>
        </w:tc>
      </w:tr>
      <w:tr>
        <w:tblPrEx>
          <w:tblCellMar>
            <w:top w:w="0" w:type="dxa"/>
            <w:left w:w="108" w:type="dxa"/>
            <w:bottom w:w="0" w:type="dxa"/>
            <w:right w:w="108" w:type="dxa"/>
          </w:tblCellMar>
        </w:tblPrEx>
        <w:trPr>
          <w:trHeight w:val="1240" w:hRule="atLeast"/>
        </w:trPr>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2"/>
                <w:szCs w:val="22"/>
              </w:rPr>
            </w:pPr>
            <w:r>
              <w:rPr>
                <w:rFonts w:hint="eastAsia" w:ascii="仿宋_GB2312" w:hAnsi="宋体" w:cs="宋体"/>
                <w:color w:val="000000"/>
                <w:kern w:val="0"/>
                <w:sz w:val="22"/>
                <w:szCs w:val="22"/>
              </w:rPr>
              <w:t>促进经济高质量发展专项资金</w:t>
            </w:r>
          </w:p>
        </w:tc>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人才发展</w:t>
            </w:r>
          </w:p>
        </w:tc>
        <w:tc>
          <w:tcPr>
            <w:tcW w:w="5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r>
              <w:rPr>
                <w:rFonts w:hint="eastAsia" w:ascii="仿宋_GB2312" w:hAnsi="宋体" w:cs="宋体"/>
                <w:color w:val="000000"/>
                <w:kern w:val="0"/>
                <w:sz w:val="24"/>
              </w:rPr>
              <w:t>广东特支计划</w:t>
            </w:r>
          </w:p>
        </w:tc>
        <w:tc>
          <w:tcPr>
            <w:tcW w:w="16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根据《知识产权强国建设纲要（</w:t>
            </w:r>
            <w:r>
              <w:rPr>
                <w:rFonts w:ascii="仿宋_GB2312" w:hAnsi="宋体" w:cs="宋体"/>
                <w:color w:val="000000"/>
                <w:kern w:val="0"/>
                <w:sz w:val="24"/>
              </w:rPr>
              <w:t>2021—2035年）》工作要求，为落实好省第十三次党代会有关工作任务，深入推进科技创新强省建设，加快构建“基础研究+技术攻关+成果转化+科技金融+人才支撑”全过程创新生态链，受省委组织部委托，组织开展广东特支计划知识产权领军人才和青年拔尖人才有关推荐工作，在全省评选推荐“知识产权领军人才”4名，每年给予80万元/人的生活补助费；评选“知识产权青年拔尖人才”6名，每年给予50万元/人的生活补助费，进一步加强知识产权高层次人才培养，扎实推进我省知识产权人才队伍建设。</w:t>
            </w:r>
          </w:p>
        </w:tc>
        <w:tc>
          <w:tcPr>
            <w:tcW w:w="14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rPr>
                <w:rFonts w:ascii="仿宋_GB2312" w:hAnsi="宋体" w:cs="宋体"/>
                <w:color w:val="000000"/>
                <w:kern w:val="0"/>
                <w:sz w:val="24"/>
              </w:rPr>
            </w:pPr>
            <w:r>
              <w:rPr>
                <w:rFonts w:hint="eastAsia" w:ascii="仿宋_GB2312" w:hAnsi="宋体" w:cs="宋体"/>
                <w:color w:val="000000"/>
                <w:kern w:val="0"/>
                <w:sz w:val="24"/>
              </w:rPr>
              <w:t>为全面贯彻落实习近平新时代人才工作新理念新战略新举措和党中央关于深入实施新时代人才强国战略部署，加大知识产权高层次人才的培育力度，在全省评选推荐</w:t>
            </w:r>
            <w:r>
              <w:rPr>
                <w:rFonts w:ascii="仿宋_GB2312" w:hAnsi="宋体" w:cs="宋体"/>
                <w:color w:val="000000"/>
                <w:kern w:val="0"/>
                <w:sz w:val="24"/>
              </w:rPr>
              <w:t>“知识产权领军人才”4名，“知识产权青年拔尖人才”6名，充分发挥领军人才引领示范作用，激发全社会创新活力，为建设知识产权强国先行示范省提供人才支撑。</w:t>
            </w:r>
          </w:p>
        </w:tc>
        <w:tc>
          <w:tcPr>
            <w:tcW w:w="1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626.2</w:t>
            </w:r>
          </w:p>
        </w:tc>
        <w:tc>
          <w:tcPr>
            <w:tcW w:w="1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r>
              <w:rPr>
                <w:rFonts w:eastAsia="宋体"/>
                <w:color w:val="000000"/>
                <w:kern w:val="0"/>
                <w:sz w:val="24"/>
              </w:rPr>
              <w:t>626.2</w:t>
            </w:r>
          </w:p>
        </w:tc>
        <w:tc>
          <w:tcPr>
            <w:tcW w:w="1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eastAsia="宋体"/>
                <w:color w:val="000000"/>
                <w:kern w:val="0"/>
                <w:sz w:val="24"/>
              </w:rPr>
            </w:pPr>
          </w:p>
        </w:tc>
        <w:tc>
          <w:tcPr>
            <w:tcW w:w="1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_GB2312" w:hAnsi="宋体" w:cs="宋体"/>
                <w:color w:val="000000"/>
                <w:kern w:val="0"/>
                <w:sz w:val="24"/>
              </w:rPr>
            </w:pPr>
          </w:p>
        </w:tc>
      </w:tr>
      <w:tr>
        <w:tblPrEx>
          <w:tblCellMar>
            <w:top w:w="0" w:type="dxa"/>
            <w:left w:w="108" w:type="dxa"/>
            <w:bottom w:w="0" w:type="dxa"/>
            <w:right w:w="108" w:type="dxa"/>
          </w:tblCellMar>
        </w:tblPrEx>
        <w:trPr>
          <w:trHeight w:val="1240" w:hRule="atLeast"/>
        </w:trPr>
        <w:tc>
          <w:tcPr>
            <w:tcW w:w="39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2"/>
                <w:szCs w:val="22"/>
              </w:rPr>
            </w:pPr>
          </w:p>
        </w:tc>
        <w:tc>
          <w:tcPr>
            <w:tcW w:w="343"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4"/>
              </w:rPr>
            </w:pPr>
          </w:p>
        </w:tc>
        <w:tc>
          <w:tcPr>
            <w:tcW w:w="52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4"/>
              </w:rPr>
            </w:pPr>
          </w:p>
        </w:tc>
        <w:tc>
          <w:tcPr>
            <w:tcW w:w="163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4"/>
              </w:rPr>
            </w:pPr>
          </w:p>
        </w:tc>
        <w:tc>
          <w:tcPr>
            <w:tcW w:w="140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4"/>
              </w:rPr>
            </w:pPr>
          </w:p>
        </w:tc>
        <w:tc>
          <w:tcPr>
            <w:tcW w:w="18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eastAsia="宋体"/>
                <w:color w:val="000000"/>
                <w:kern w:val="0"/>
                <w:sz w:val="24"/>
              </w:rPr>
            </w:pPr>
          </w:p>
        </w:tc>
        <w:tc>
          <w:tcPr>
            <w:tcW w:w="1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eastAsia="宋体"/>
                <w:color w:val="000000"/>
                <w:kern w:val="0"/>
                <w:sz w:val="24"/>
              </w:rPr>
            </w:pPr>
          </w:p>
        </w:tc>
        <w:tc>
          <w:tcPr>
            <w:tcW w:w="1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eastAsia="宋体"/>
                <w:color w:val="000000"/>
                <w:kern w:val="0"/>
                <w:sz w:val="24"/>
              </w:rPr>
            </w:pPr>
          </w:p>
        </w:tc>
        <w:tc>
          <w:tcPr>
            <w:tcW w:w="1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仿宋_GB2312" w:hAnsi="宋体" w:cs="宋体"/>
                <w:color w:val="000000"/>
                <w:kern w:val="0"/>
                <w:sz w:val="24"/>
              </w:rPr>
            </w:pPr>
          </w:p>
        </w:tc>
      </w:tr>
    </w:tbl>
    <w:p>
      <w:pPr>
        <w:ind w:firstLine="640" w:firstLineChars="200"/>
        <w:rPr>
          <w:rFonts w:hint="eastAsia" w:ascii="仿宋_GB2312"/>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945DA"/>
    <w:rsid w:val="58D94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unhideWhenUsed/>
    <w:qFormat/>
    <w:uiPriority w:val="99"/>
    <w:pPr>
      <w:spacing w:before="100" w:beforeAutospacing="1" w:after="100" w:afterAutospacing="1"/>
      <w:ind w:left="420" w:leftChars="200"/>
    </w:pPr>
    <w:rPr>
      <w:rFonts w:ascii="Calibri" w:hAnsi="Calibri" w:eastAsia="宋体"/>
      <w:szCs w:val="30"/>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2023-12-21T14:30:00Z</dcterms:created>
  <dc:creator>胡翌婧</dc:creator>
  <cp:lastModifiedBy>胡翌婧</cp:lastModifiedBy>
  <dcterms:modified xsi:type="dcterms:W3CDTF">2023-12-21T14:31:24Z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8CF26A9A6CC64D568FDA85492B3BFEAD</vt:lpwstr>
  </property>
</Properties>
</file>