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2024年广东省促进经济高质量发展专项资金（口岸建设事项）资金拟安排项目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6"/>
        <w:gridCol w:w="1986"/>
        <w:gridCol w:w="3868"/>
        <w:gridCol w:w="17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项目单位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支持金额（万元）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中华人民共和国广州海关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广东口岸国际航行船舶压舱水及沉积物生物安全检测平台建设项目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中华人民共和国广州海关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广州出入境生物医药产品性能与效果评价中心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中华人民共和国黄埔海关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黄埔综保区高水平开放和口岸业务运行智慧管控项目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广州琶洲港澳客运码头有限公司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广州港口岸琶洲港澳客运码头海事查验监管配套设施建设项目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广东中外运东江仓码有限公司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广东中外运东江仓码有限公司龙门吊智能远控改造项目（二期）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3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广州市综合交通枢纽有限公司</w:t>
            </w:r>
          </w:p>
        </w:tc>
        <w:tc>
          <w:tcPr>
            <w:tcW w:w="2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增城西铁路物流园跨境电商海关监管中心</w:t>
            </w:r>
          </w:p>
        </w:tc>
        <w:tc>
          <w:tcPr>
            <w:tcW w:w="10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604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2024-03-11T11:04:33Z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CAC689A0A8F1489FB2B63ACC807EF2D9_12</vt:lpwstr>
  </property>
</Properties>
</file>