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6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26" w:lineRule="atLeast"/>
        <w:ind w:left="0" w:right="0" w:firstLine="0"/>
        <w:jc w:val="center"/>
        <w:rPr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第十一批广州市博士后创新实践基地拟入选单位名单</w:t>
      </w:r>
    </w:p>
    <w:tbl>
      <w:tblPr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46"/>
        <w:gridCol w:w="69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广东腐蚀科学与技术创新研究院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万力轮胎股份有限公司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广州市名花香料有限公司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广州海力特生物科技有限公司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广州维力医疗器械股份有限公司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广州南沙华农渔业研究院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广东南芯医疗科技有限公司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广东暨大基因药物工程研究中心有限公司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粤港澳大湾区精准医学研究院（广州）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广州市第十二人民医院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广东大湾区空天信息研究院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广东省大湾区集成电路与系统应用研究院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广东保伦电子股份有限公司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广东智能无人系统研究院（南沙）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广州科技贸易职业学院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广州市新豪精密科技有限公司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广州广合科技股份有限公司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广州珠江建设发展有限公司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永道工程咨询有限公司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广州市吉华勘测股份有限公司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广州花卉研究中心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广州回天新材料有限公司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广东粤港澳大湾区黄埔材料研究院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广东粤港澳大湾区国家纳米科技创新研究院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广州市中西医结合医院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人工智能与数字经济广东省实验室（广州）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云宏信息科技股份有限公司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广州普华灵动机器人技术有限公司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广东稳固检测鉴定有限公司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国信信扬律师事务所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合生元（广州）健康产品有限公司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19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广州微远基因科技有限公司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0D2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2024-03-12T02:03:42Z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B3CB7D2D139F4959947969410BF60709_12</vt:lpwstr>
  </property>
</Properties>
</file>