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7"/>
          <w:szCs w:val="27"/>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b w:val="0"/>
          <w:bCs w:val="0"/>
          <w:i w:val="0"/>
          <w:iCs w:val="0"/>
          <w:caps w:val="0"/>
          <w:color w:val="000000"/>
          <w:spacing w:val="0"/>
          <w:sz w:val="28"/>
          <w:szCs w:val="28"/>
        </w:rPr>
      </w:pPr>
      <w:r>
        <w:rPr>
          <w:rFonts w:hint="eastAsia" w:ascii="微软雅黑" w:hAnsi="微软雅黑" w:eastAsia="微软雅黑" w:cs="微软雅黑"/>
          <w:b w:val="0"/>
          <w:bCs w:val="0"/>
          <w:i w:val="0"/>
          <w:iCs w:val="0"/>
          <w:caps w:val="0"/>
          <w:color w:val="000000"/>
          <w:spacing w:val="0"/>
          <w:sz w:val="28"/>
          <w:szCs w:val="28"/>
          <w:bdr w:val="none" w:color="auto" w:sz="0" w:space="0"/>
        </w:rPr>
        <w:t>2024年东莞市工业和信息化专项资金融资租赁贴息项目通过前置性审核的企业名单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rPr>
          <w:rFonts w:hint="eastAsia" w:ascii="微软雅黑" w:hAnsi="微软雅黑" w:eastAsia="微软雅黑" w:cs="微软雅黑"/>
          <w:i w:val="0"/>
          <w:iCs w:val="0"/>
          <w:caps w:val="0"/>
          <w:color w:val="000000"/>
          <w:spacing w:val="0"/>
          <w:sz w:val="27"/>
          <w:szCs w:val="27"/>
        </w:rPr>
      </w:pPr>
    </w:p>
    <w:tbl>
      <w:tblPr>
        <w:tblW w:w="8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30"/>
        <w:gridCol w:w="2070"/>
        <w:gridCol w:w="5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single" w:color="000000" w:sz="6" w:space="0"/>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b/>
                <w:bCs/>
                <w:i w:val="0"/>
                <w:iCs w:val="0"/>
                <w:caps w:val="0"/>
                <w:color w:val="000000"/>
                <w:spacing w:val="0"/>
                <w:sz w:val="27"/>
                <w:szCs w:val="27"/>
                <w:bdr w:val="none" w:color="auto" w:sz="0" w:space="0"/>
              </w:rPr>
              <w:t>序号</w:t>
            </w:r>
          </w:p>
        </w:tc>
        <w:tc>
          <w:tcPr>
            <w:tcW w:w="2066" w:type="dxa"/>
            <w:tcBorders>
              <w:top w:val="single" w:color="000000" w:sz="6" w:space="0"/>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b/>
                <w:bCs/>
                <w:i w:val="0"/>
                <w:iCs w:val="0"/>
                <w:caps w:val="0"/>
                <w:color w:val="000000"/>
                <w:spacing w:val="0"/>
                <w:sz w:val="27"/>
                <w:szCs w:val="27"/>
                <w:bdr w:val="none" w:color="auto" w:sz="0" w:space="0"/>
              </w:rPr>
              <w:t>所属街镇</w:t>
            </w:r>
          </w:p>
        </w:tc>
        <w:tc>
          <w:tcPr>
            <w:tcW w:w="5091" w:type="dxa"/>
            <w:tcBorders>
              <w:top w:val="single" w:color="000000" w:sz="6" w:space="0"/>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b/>
                <w:bCs/>
                <w:i w:val="0"/>
                <w:iCs w:val="0"/>
                <w:caps w:val="0"/>
                <w:color w:val="000000"/>
                <w:spacing w:val="0"/>
                <w:sz w:val="27"/>
                <w:szCs w:val="27"/>
                <w:bdr w:val="none" w:color="auto" w:sz="0" w:space="0"/>
              </w:rPr>
              <w:t>企业名称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东莞市楚兴制辊有限公司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东莞市乔冠精密科技有限公司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石排</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东莞市盛阳塑胶五金制品有限公司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弘欧科技（东莞）有限公司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东莞市温沪五金有限公司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东莞市骏莞塑胶模具有限公司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弘欧精密模具（东莞）有限公司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广东德莱昂生物科技有限公司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东莞市精致精密模具有限公司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10</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东莞市顺和隆科技有限公司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11</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东莞市品鸿五金科技有限公司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12</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东莞市合利欣印刷有限公司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13</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东莞市鼎平精密五金科技有限公司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14</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东莞市紫博精工科技有限公司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15</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广东永超科技智造有限公司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16</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东莞市泰蓝电子科技有限公司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17</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道滘</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东莞市力合达机电设备有限公司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18</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东莞市富亿鑫精密科技有限公司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19</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东莞市四维智达精密技术有限公司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20</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东莞市科航模具塑胶有限公司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21</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东莞市湘杰电子科技有限公司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22</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东莞市海柯电子有限公司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23</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菲力克斯五金制品（东莞）有限公司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24</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东莞市厚威包装科技股份有限公司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25</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东莞市石上精密模具有限公司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26</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东莞市茗铸五金塑胶有限公司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27</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东莞市泰铭声学有限公司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28</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东莞市依美达精密科技有限公司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29</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东莞市正方五金模具有限公司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30</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东莞市云皓电子有限公司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31</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东莞市才毅精密科技有限公司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32</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东莞市一丁精密模具组件有限公司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33</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东莞市和镁五金有限公司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34</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东莞市强宇精密金属有限公司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35</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东莞市辉旭精密五金有限公司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36</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东莞市东秀科技有限公司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37</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凤岗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东莞市毅加模具制品有限公司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38</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广东昭明电子集团股份有限公司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39</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东莞市柳兴塑料五金有限公司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40</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东莞市美利勤精密金属有限公司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41</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东莞市曼科五金制品有限公司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42</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广东省德金智能制造有限公司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43</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东莞市尖科五金模具有限公司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44</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广东望京卡牌科技有限公司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45</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东莞中诺模具制品有限公司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46</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东莞市垚富五金科技有限公司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47</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东莞市正康电子有限公司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48</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东莞市科高精密科技有限公司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49</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广东凯晟科技发展有限公司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50</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广东力宏精密科技有限公司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51</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东莞市西摩塑胶科技有限公司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52</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东莞市亮艺钻石工具有限公司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53</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东莞鑫三益五金制品有限公司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54</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东莞市鼎盛皇科技发展有限公司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55</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广东卓越包装科技有限公司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56</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东莞市亚琪五金塑胶科技有限公司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57</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东莞市长新精密技术有限公司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58</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东莞市宇一模具有限公司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59</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东莞市富翔智信科技有限公司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60</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东莞市凯东包装材料有限公司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61</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茶山</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东莞市盈嘉精密制造有限公司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62</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东莞市环力智能科技有限公司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63</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东莞市建达包装材料有限公司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64</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东莞市康斯金属制品有限公司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65</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东莞市华达环保科技有限公司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66</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东莞鑫亚精密技术有限公司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67</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亿诚彩色印刷（东莞）有限公司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68</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东莞市昌辰精密机械有限公司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69</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东莞市登兴模具科技有限公司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70</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虎门</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东莞市百优精密模具塑胶有限公司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71</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东莞市华兴达塑胶有限公司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72</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东莞市恩腾五金电子科技有限公司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73</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合佳智能科技（广东）有限公司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74</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东莞市英伦实业有限公司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75</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东莞市田氏塑胶包装制品有限公司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76</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拓维技术（东莞）有限公司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77</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东莞市博灏模具制品有限公司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78</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横沥</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东莞蜀航印刷有限公司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79</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东莞市吉盈科技有限公司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80</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沙田</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东莞诺德科技有限公司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81</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东莞市庆辉印刷有限公司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82</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塘厦</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东莞市金铂钰橡塑五金制品有限公司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83</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企石</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东莞市华硕包装材料有限公司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84</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东莞市中荣印刷有限公司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85</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常平</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东莞市皋博模具五金制品有限公司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86</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寮步</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东莞市粤明华印刷包装有限公司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87</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谢岗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东莞市博昂模具压铸实业有限公司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88</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樟木头</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东莞市天虹纸品印刷有限公司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89</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松山湖</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广东长兴半导体科技有限公司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90</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黄江</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东莞市固源医疗科技有限公司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91</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东城</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东莞市玛仕金科技有限公司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92</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东坑</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东莞市优佲五金制造有限公司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93</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长安</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东莞市玛雅精密模具有限公司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94</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东莞市协旭五金制品有限公司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95</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厚街</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东莞市铝宝金属科技有限公司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96</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大岭山</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东莞市百硕精密模具有限公司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97</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清溪</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东莞市精微科电子科技有限公司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28" w:type="dxa"/>
            <w:tcBorders>
              <w:top w:val="nil"/>
              <w:left w:val="single" w:color="000000" w:sz="6" w:space="0"/>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98</w:t>
            </w:r>
          </w:p>
        </w:tc>
        <w:tc>
          <w:tcPr>
            <w:tcW w:w="2066"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桥头</w:t>
            </w:r>
          </w:p>
        </w:tc>
        <w:tc>
          <w:tcPr>
            <w:tcW w:w="5091" w:type="dxa"/>
            <w:tcBorders>
              <w:top w:val="nil"/>
              <w:left w:val="nil"/>
              <w:bottom w:val="single" w:color="000000" w:sz="6" w:space="0"/>
              <w:right w:val="single" w:color="000000" w:sz="6" w:space="0"/>
            </w:tcBorders>
            <w:shd w:val="clear"/>
            <w:noWrap/>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微软雅黑" w:hAnsi="微软雅黑" w:eastAsia="微软雅黑" w:cs="微软雅黑"/>
                <w:i w:val="0"/>
                <w:iCs w:val="0"/>
                <w:caps w:val="0"/>
                <w:color w:val="000000"/>
                <w:spacing w:val="0"/>
                <w:sz w:val="27"/>
                <w:szCs w:val="27"/>
                <w:bdr w:val="none" w:color="auto" w:sz="0" w:space="0"/>
              </w:rPr>
              <w:t>吉合生命科学技术（东莞）有限公司</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442723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2024-03-18T01:50:16Z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768421C0B5F5447A8C0F065CBA260287_12</vt:lpwstr>
  </property>
</Properties>
</file>