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6" w:lineRule="atLeast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6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sz w:val="24"/>
          <w:szCs w:val="24"/>
          <w:bdr w:val="none" w:color="auto" w:sz="0" w:space="0"/>
        </w:rPr>
        <w:t>第十一批广州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sz w:val="24"/>
          <w:szCs w:val="24"/>
          <w:bdr w:val="none" w:color="auto" w:sz="0" w:space="0"/>
        </w:rPr>
        <w:t>市博士后创新实践基地入选单位名单</w:t>
      </w:r>
    </w:p>
    <w:tbl>
      <w:tblPr>
        <w:tblW w:w="862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725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2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广东腐蚀科学与技术创新研究院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万力轮胎股份有限公司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广州市名花香料有限公司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广州海力特生物科技有限公司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广州维力医疗器械股份有限公司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广州南沙华农渔业研究院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广东南芯医疗科技有限公司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广东暨大基因药物工程研究中心有限公司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粤港澳大湾区精准医学研究院（广州）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广州市第十二人民医院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广东大湾区空天信息研究院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广东省大湾区集成电路与系统应用研究院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广东保伦电子股份有限公司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广东智能无人系统研究院（南沙）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广州科技贸易职业学院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广州市新豪精密科技有限公司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广州广合科技股份有限公司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广州珠江建设发展有限公司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永道工程咨询有限公司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广州市吉华勘测股份有限公司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广州花卉研究中心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广州回天新材料有限公司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广东粤港澳大湾区黄埔材料研究院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广东粤港澳大湾区国家纳米科技创新研究院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广州市中西医结合医院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人工智能与数字经济广东省实验室（广州）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云宏信息科技股份有限公司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广州普华灵动机器人技术有限公司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广东稳固检测鉴定有限公司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国信信扬律师事务所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合生元（广州）健康产品有限公司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7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广州微远基因科技有限公司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6" w:lineRule="atLeast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8CC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2024-04-02T07:40:59Z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092A7C6414474B16BEEC23B0DAFDA956_12</vt:lpwstr>
  </property>
</Properties>
</file>