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</w:p>
    <w:p>
      <w:pPr>
        <w:pStyle w:val="2"/>
        <w:rPr>
          <w:rFonts w:hint="default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2024年省市场监管系统转移市县专项资金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国家知识产权优势示范企业项目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审核结果和资金拟分配方案</w:t>
      </w:r>
    </w:p>
    <w:bookmarkEnd w:id="0"/>
    <w:p>
      <w:pPr>
        <w:pStyle w:val="2"/>
        <w:rPr>
          <w:rFonts w:hint="eastAsia"/>
          <w:lang w:eastAsia="zh-CN"/>
        </w:rPr>
      </w:pPr>
    </w:p>
    <w:tbl>
      <w:tblPr>
        <w:tblStyle w:val="3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5306"/>
        <w:gridCol w:w="1389"/>
        <w:gridCol w:w="14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tblHeader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t>审核结果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拟扶持金额（万元）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广州地铁设计研究院股份有限公司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广州达安基因股份有限公司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广州万孚生物技术股份有限公司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泰斗微电子科技有限公司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广州王老吉药业股份有限公司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广州广电运通信息科技有限公司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广州明珞装备股份有限公司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招商华软信息有限公司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佳都科技集团股份有限公司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广州市儒兴科技股份有限公司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广州亿航智能技术有限公司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广州白云山陈李济药厂有限公司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广州白云山拜迪生物医药有限公司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广州一品红制药有限公司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广州辰东新材料有限公司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露乐健康科技股份有限公司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广州华糖食品有限公司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金发科技股份有限公司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广州白云山明兴制药有限公司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中船黄埔文冲船舶有限公司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广州小鹏汽车科技有限公司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南方电网科学研究院有限责任公司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广东电网有限责任公司电力科学研究院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广船国际有限公司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汇专科技集团股份有限公司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日立电梯（中国）有限公司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科益展智能装备有限公司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京信通信技术（广州）有限公司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南方电网数字电网研究院有限公司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广州新科佳都科技有限公司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广州科城环保科技有限公司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广州医软智能科技有限公司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广州维港环保科技有限公司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数字广东网络建设有限公司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通过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3ZDhhMTNlYjdhYzYwN2ZlZjg0OTA4NGExOTcxNjAifQ=="/>
  </w:docVars>
  <w:rsids>
    <w:rsidRoot w:val="2CDE0616"/>
    <w:rsid w:val="2CDE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600" w:lineRule="exact"/>
      <w:outlineLvl w:val="1"/>
    </w:pPr>
    <w:rPr>
      <w:rFonts w:ascii="Cambria" w:hAnsi="Cambria" w:eastAsia="黑体" w:cs="宋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2024-05-20T08:19:00Z</dcterms:created>
  <dc:creator>叶菲</dc:creator>
  <cp:lastModifiedBy>叶菲</cp:lastModifiedBy>
  <dcterms:modified xsi:type="dcterms:W3CDTF">2024-05-20T08:19:51Z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B2594EF991DA455783187F0D05BEA3E6_11</vt:lpwstr>
  </property>
</Properties>
</file>