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2024年省级促进经济高质量发展专项资金（促进外贸发展方向）进口贴息项目进口基地类资金安排表（拟）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3"/>
        <w:gridCol w:w="5157"/>
        <w:gridCol w:w="23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302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单位名称</w:t>
            </w:r>
          </w:p>
        </w:tc>
        <w:tc>
          <w:tcPr>
            <w:tcW w:w="137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拟支持金额（元）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北大荒中垦（广东）食品科技有限公司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313,198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广东卓志跨境电商供应链服务有限公司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2,000,000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广东裕龙汇供应链管理有限公司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554,573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广州珠江电力燃料有限公司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2,000,000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广州发展天然气贸易有限公司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1,221,223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南航南沙融资租赁（广州）有限公司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589,014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广州南沙南航天吉租赁有限公司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1,553,611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广东海大集团股份有限公司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880,749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广州丰优贸易有限公司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673,113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欧泰贡（广东）食品有限公司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378,117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广州钻石交易中心有限责任公司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353,190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广州粤和能源有限公司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1,670,029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广东广物国际能源集团有限公司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1,079,113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广东俊杰农产品有限公司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1,864,338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广东省电力工业燃料有限公司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554,394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广东省中科进出口有限公司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579,314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粤海永顺泰（广州）麦芽有限公司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1,674,309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健合（中国）有限公司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1,681,714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粤海永顺泰集团股份有限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359,372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美赞臣营养品（中国）有限公司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1,969,358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30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广州市卓志进出口有限公司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601,271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23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3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22,550,000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9BA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2024-05-09T02:04:11Z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A0DD6128977046B6A68566C85A755C64_12</vt:lpwstr>
  </property>
</Properties>
</file>