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7" w:lineRule="atLeast"/>
        <w:ind w:left="0" w:right="0" w:firstLine="0"/>
        <w:jc w:val="left"/>
        <w:rPr>
          <w:rFonts w:ascii="Microsoft YaHei UI" w:hAnsi="Microsoft YaHei UI" w:eastAsia="Microsoft YaHei UI" w:cs="Microsoft YaHei UI"/>
          <w:i w:val="0"/>
          <w:iCs w:val="0"/>
          <w:caps w:val="0"/>
          <w:color w:val="171717"/>
          <w:spacing w:val="0"/>
          <w:sz w:val="24"/>
          <w:szCs w:val="2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171717"/>
          <w:spacing w:val="0"/>
          <w:sz w:val="24"/>
          <w:szCs w:val="24"/>
          <w:bdr w:val="none" w:color="auto" w:sz="0" w:space="0"/>
          <w:shd w:val="clear" w:fill="FFFFFF"/>
        </w:rPr>
        <w:t>附件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7" w:lineRule="atLeast"/>
        <w:ind w:left="0" w:right="0" w:firstLine="0"/>
        <w:jc w:val="center"/>
        <w:rPr>
          <w:rFonts w:hint="eastAsia" w:ascii="Microsoft YaHei UI" w:hAnsi="Microsoft YaHei UI" w:eastAsia="Microsoft YaHei UI" w:cs="Microsoft YaHei UI"/>
          <w:b/>
          <w:bCs/>
          <w:i w:val="0"/>
          <w:iCs w:val="0"/>
          <w:caps w:val="0"/>
          <w:color w:val="171717"/>
          <w:spacing w:val="0"/>
          <w:sz w:val="24"/>
          <w:szCs w:val="24"/>
        </w:rPr>
      </w:pPr>
      <w:r>
        <w:rPr>
          <w:rFonts w:hint="eastAsia" w:ascii="Microsoft YaHei UI" w:hAnsi="Microsoft YaHei UI" w:eastAsia="Microsoft YaHei UI" w:cs="Microsoft YaHei UI"/>
          <w:b/>
          <w:bCs/>
          <w:i w:val="0"/>
          <w:iCs w:val="0"/>
          <w:caps w:val="0"/>
          <w:color w:val="171717"/>
          <w:spacing w:val="0"/>
          <w:sz w:val="24"/>
          <w:szCs w:val="24"/>
          <w:bdr w:val="none" w:color="auto" w:sz="0" w:space="0"/>
          <w:shd w:val="clear" w:fill="FFFFFF"/>
        </w:rPr>
        <w:t>2022年度考核评估结果为不合格的中山市工程技术研究中心整改结果</w:t>
      </w:r>
    </w:p>
    <w:tbl>
      <w:tblPr>
        <w:tblW w:w="4998" w:type="pct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27"/>
        <w:gridCol w:w="3234"/>
        <w:gridCol w:w="3095"/>
        <w:gridCol w:w="1457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Style w:val="5"/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序号</w:t>
            </w:r>
          </w:p>
        </w:tc>
        <w:tc>
          <w:tcPr>
            <w:tcW w:w="189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Style w:val="5"/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工程中心名称</w:t>
            </w:r>
          </w:p>
        </w:tc>
        <w:tc>
          <w:tcPr>
            <w:tcW w:w="181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Style w:val="5"/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依托单位</w:t>
            </w:r>
          </w:p>
        </w:tc>
        <w:tc>
          <w:tcPr>
            <w:tcW w:w="85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Style w:val="5"/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整改结果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89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中山市3D打印（科普斯特）工程技术研发中心</w:t>
            </w:r>
          </w:p>
        </w:tc>
        <w:tc>
          <w:tcPr>
            <w:tcW w:w="181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中山科普斯特电源技术有限公司</w:t>
            </w:r>
          </w:p>
        </w:tc>
        <w:tc>
          <w:tcPr>
            <w:tcW w:w="85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撤销资格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189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中山市火炬科技工程技术研究开发中心</w:t>
            </w:r>
          </w:p>
        </w:tc>
        <w:tc>
          <w:tcPr>
            <w:tcW w:w="181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中炬高新技术实业（集团）股份有限公司</w:t>
            </w:r>
          </w:p>
        </w:tc>
        <w:tc>
          <w:tcPr>
            <w:tcW w:w="85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撤销资格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189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中山市生态纺织材料工程技术研究开发中心</w:t>
            </w:r>
          </w:p>
        </w:tc>
        <w:tc>
          <w:tcPr>
            <w:tcW w:w="181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百利合化工（中山）有限公司</w:t>
            </w:r>
          </w:p>
        </w:tc>
        <w:tc>
          <w:tcPr>
            <w:tcW w:w="85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撤销资格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4</w:t>
            </w:r>
          </w:p>
        </w:tc>
        <w:tc>
          <w:tcPr>
            <w:tcW w:w="189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中山市太阳能中央供热工程技术研究开发中心</w:t>
            </w:r>
          </w:p>
        </w:tc>
        <w:tc>
          <w:tcPr>
            <w:tcW w:w="181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广东红日节能环保科技有限公司</w:t>
            </w:r>
          </w:p>
        </w:tc>
        <w:tc>
          <w:tcPr>
            <w:tcW w:w="85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撤销资格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5</w:t>
            </w:r>
          </w:p>
        </w:tc>
        <w:tc>
          <w:tcPr>
            <w:tcW w:w="189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中山市网络信息安全及系统集成（安众）工程技术研究中心</w:t>
            </w:r>
          </w:p>
        </w:tc>
        <w:tc>
          <w:tcPr>
            <w:tcW w:w="181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广东安众科技有限公司</w:t>
            </w:r>
          </w:p>
        </w:tc>
        <w:tc>
          <w:tcPr>
            <w:tcW w:w="85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撤销资格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6</w:t>
            </w:r>
          </w:p>
        </w:tc>
        <w:tc>
          <w:tcPr>
            <w:tcW w:w="189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中山市AI人工智能编程教育（优品智学教育）工程技术研究中心</w:t>
            </w:r>
          </w:p>
        </w:tc>
        <w:tc>
          <w:tcPr>
            <w:tcW w:w="181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广东优品智学教育科技有限公司</w:t>
            </w:r>
          </w:p>
        </w:tc>
        <w:tc>
          <w:tcPr>
            <w:tcW w:w="85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撤销资格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7</w:t>
            </w:r>
          </w:p>
        </w:tc>
        <w:tc>
          <w:tcPr>
            <w:tcW w:w="189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中山市智能展示（上格）工程技术研究中心</w:t>
            </w:r>
          </w:p>
        </w:tc>
        <w:tc>
          <w:tcPr>
            <w:tcW w:w="181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广东上格展示科技有限公司</w:t>
            </w:r>
          </w:p>
        </w:tc>
        <w:tc>
          <w:tcPr>
            <w:tcW w:w="85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撤销资格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189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中山市中式糕点（日威食品）工程技术研究中心</w:t>
            </w:r>
          </w:p>
        </w:tc>
        <w:tc>
          <w:tcPr>
            <w:tcW w:w="181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中山市日威食品有限公司</w:t>
            </w:r>
          </w:p>
        </w:tc>
        <w:tc>
          <w:tcPr>
            <w:tcW w:w="85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撤销资格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9</w:t>
            </w:r>
          </w:p>
        </w:tc>
        <w:tc>
          <w:tcPr>
            <w:tcW w:w="189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中山市清洁生产与节能减排（凯德）工程技术研究中心</w:t>
            </w:r>
          </w:p>
        </w:tc>
        <w:tc>
          <w:tcPr>
            <w:tcW w:w="181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中山市凯德环保设备有限公司</w:t>
            </w:r>
          </w:p>
        </w:tc>
        <w:tc>
          <w:tcPr>
            <w:tcW w:w="85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撤销资格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10</w:t>
            </w:r>
          </w:p>
        </w:tc>
        <w:tc>
          <w:tcPr>
            <w:tcW w:w="189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中山市纺织品检测工程技术研究开发中心</w:t>
            </w:r>
          </w:p>
        </w:tc>
        <w:tc>
          <w:tcPr>
            <w:tcW w:w="181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中山中测纺织产业技术研究中心</w:t>
            </w:r>
          </w:p>
        </w:tc>
        <w:tc>
          <w:tcPr>
            <w:tcW w:w="85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撤销资格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11</w:t>
            </w:r>
          </w:p>
        </w:tc>
        <w:tc>
          <w:tcPr>
            <w:tcW w:w="189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中山市变电技术（国能电器）工程技术研究中心</w:t>
            </w:r>
          </w:p>
        </w:tc>
        <w:tc>
          <w:tcPr>
            <w:tcW w:w="181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中山市国能电器有限公司</w:t>
            </w:r>
          </w:p>
        </w:tc>
        <w:tc>
          <w:tcPr>
            <w:tcW w:w="85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撤销资格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12</w:t>
            </w:r>
          </w:p>
        </w:tc>
        <w:tc>
          <w:tcPr>
            <w:tcW w:w="1899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中山市高分子聚合物材料（吉安）工程技术研究中心</w:t>
            </w:r>
          </w:p>
        </w:tc>
        <w:tc>
          <w:tcPr>
            <w:tcW w:w="1817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中山市吉安海棉制品有限公司</w:t>
            </w:r>
          </w:p>
        </w:tc>
        <w:tc>
          <w:tcPr>
            <w:tcW w:w="855" w:type="pc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7" w:lineRule="atLeast"/>
              <w:ind w:left="0" w:right="0"/>
              <w:jc w:val="center"/>
            </w:pPr>
            <w:r>
              <w:rPr>
                <w:rFonts w:hint="default" w:ascii="Times New Roman" w:hAnsi="Times New Roman" w:cs="Times New Roman"/>
                <w:caps w:val="0"/>
                <w:spacing w:val="0"/>
                <w:sz w:val="19"/>
                <w:szCs w:val="19"/>
                <w:bdr w:val="none" w:color="auto" w:sz="0" w:space="0"/>
              </w:rPr>
              <w:t>撤销资格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2E5OTE4NzUxMWUwMzY0ODdmZWFiYTc1NTBhOTMifQ=="/>
  </w:docVars>
  <w:rsids>
    <w:rsidRoot w:val="00000000"/>
    <w:rsid w:val="4F7973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2024-05-14T02:10:13Z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EEB2049127DC47BDB675276F64CE2CA4_12</vt:lpwstr>
  </property>
</Properties>
</file>