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Style w:val="5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eastAsia="zh-CN"/>
        </w:rPr>
      </w:pPr>
      <w:r>
        <w:rPr>
          <w:rStyle w:val="5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2024年度广州市第三批知识产权项目（促进类）形式审查结果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2"/>
        <w:gridCol w:w="2216"/>
        <w:gridCol w:w="2610"/>
        <w:gridCol w:w="1657"/>
        <w:gridCol w:w="133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申报类型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申报单位名称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形式审查结果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专利转化促进项目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广州恒成智道信息科技有限公司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专利转化促进项目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广州中新知识产权服务有限公司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专利转化促进项目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广东高航知识产权运营有限公司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专利转化促进项目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广州粤高专利商标代理有限公司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专利转化促进项目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华进联合专利商标代理有限公司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园区专利转化试点项目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广东金颖农业科技孵化有限公司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园区专利转化试点项目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广东拓思软件科学园有限公司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园区专利转化试点项目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广州旗锐数字科技有限公司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园区专利转化试点项目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广州归谷科技园有限公司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知识产权交易能力提升项目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广州知识产权交易中心有限公司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知识产权数据资源公共服务运用项目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广州恒成智道信息科技有限公司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知识产权数据资源公共服务运用项目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广州奥凯信息咨询有限公司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知识产权公共服务标准化城市建设项目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广东省科技图书馆(广东省科学院信息研究所)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创新管理知识产权国际标准实施项目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中知（北京）认证有限公司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创新管理知识产权国际标准实施项目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华进联合专利商标代理有限公司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创新管理知识产权国际标准实施项目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广州市知识产权发展联合会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促进商标品牌价值提升项目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广州商标审查协作中心（广东省知识产权开发与服务中心）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促进商标品牌价值提升项目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华进联合专利商标代理有限公司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知识产权强市建设支撑项目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广东高捷航运物流有限公司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知识产权强市建设支撑项目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广东中策知识产权研究院有限公司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3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知识产权强市建设支撑项目</w:t>
            </w:r>
          </w:p>
        </w:tc>
        <w:tc>
          <w:tcPr>
            <w:tcW w:w="15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华进联合专利商标代理有限公司</w:t>
            </w:r>
          </w:p>
        </w:tc>
        <w:tc>
          <w:tcPr>
            <w:tcW w:w="9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不通过</w:t>
            </w:r>
          </w:p>
        </w:tc>
        <w:tc>
          <w:tcPr>
            <w:tcW w:w="8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申报单位撤回申报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2B20C36"/>
    <w:rsid w:val="1B731380"/>
    <w:rsid w:val="2EB53B9F"/>
    <w:rsid w:val="68681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2024-06-11T01:27:57Z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021F16F44D0647E3AEEB7D5F6A98A27D_12</vt:lpwstr>
  </property>
</Properties>
</file>