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2024年中央外经贸发展专项资金（开拓重点市场事项）品牌培育项目初步安排计划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9"/>
        <w:gridCol w:w="4140"/>
        <w:gridCol w:w="1591"/>
        <w:gridCol w:w="19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43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93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区域</w:t>
            </w:r>
          </w:p>
        </w:tc>
        <w:tc>
          <w:tcPr>
            <w:tcW w:w="112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拟安排扶持金额（元）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广东盈浩工艺制品有限公司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海珠区</w:t>
            </w:r>
          </w:p>
        </w:tc>
        <w:tc>
          <w:tcPr>
            <w:tcW w:w="11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396,482.85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广州金升阳科技有限公司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1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852,366.19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广州三晶电气股份有限公司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1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323,853.37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广州达意隆包装机械股份有限公司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11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31,193.19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广州珠江恺撒堡钢琴有限公司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增城区</w:t>
            </w:r>
          </w:p>
        </w:tc>
        <w:tc>
          <w:tcPr>
            <w:tcW w:w="11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149,834.48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70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12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1,753,730.08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311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2024-06-06T02:50:20Z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258E3E2484554512808C090996B4B617_12</vt:lpwstr>
  </property>
</Properties>
</file>