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 w:cs="Times New Roman"/>
          <w:sz w:val="28"/>
          <w:szCs w:val="28"/>
          <w:lang w:eastAsia="zh-CN"/>
        </w:rPr>
        <w:t>广</w:t>
      </w:r>
      <w:r>
        <w:rPr>
          <w:rFonts w:hint="default" w:ascii="Times New Roman" w:hAnsi="Times New Roman" w:eastAsia="方正小标宋_GBK" w:cs="Times New Roman"/>
          <w:sz w:val="28"/>
          <w:szCs w:val="28"/>
          <w:lang w:eastAsia="zh-CN"/>
        </w:rPr>
        <w:t>州市</w:t>
      </w:r>
      <w:r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  <w:t>年度</w:t>
      </w:r>
      <w:r>
        <w:rPr>
          <w:rFonts w:hint="eastAsia" w:ascii="Times New Roman" w:hAnsi="Times New Roman" w:eastAsia="方正小标宋_GBK" w:cs="Times New Roman"/>
          <w:sz w:val="28"/>
          <w:szCs w:val="28"/>
          <w:lang w:eastAsia="zh-CN"/>
        </w:rPr>
        <w:t>绿色工厂</w:t>
      </w:r>
      <w:r>
        <w:rPr>
          <w:rFonts w:hint="default" w:ascii="Times New Roman" w:hAnsi="Times New Roman" w:eastAsia="方正小标宋_GBK" w:cs="Times New Roman"/>
          <w:sz w:val="28"/>
          <w:szCs w:val="28"/>
          <w:lang w:eastAsia="zh-CN"/>
        </w:rPr>
        <w:t>名单</w:t>
      </w:r>
    </w:p>
    <w:bookmarkEnd w:id="0"/>
    <w:tbl>
      <w:tblPr>
        <w:tblStyle w:val="3"/>
        <w:tblW w:w="4300" w:type="pct"/>
        <w:tblInd w:w="5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817"/>
        <w:gridCol w:w="5118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sz w:val="24"/>
                <w:szCs w:val="24"/>
                <w:shd w:val="clear" w:color="auto" w:fill="FFFFFF"/>
                <w:lang w:eastAsia="zh-CN"/>
              </w:rPr>
              <w:t>绿色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工厂名称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z w:val="24"/>
                <w:szCs w:val="24"/>
                <w:shd w:val="clear" w:color="auto" w:fill="FFFFFF"/>
                <w:lang w:val="en-US" w:eastAsia="zh-CN"/>
              </w:rPr>
              <w:t>所属区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广东省电力线路器材厂有限公司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白云区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广州华星光电半导体显示技术有限公司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玛氏箭牌糖果（中国）有限公司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广电运通集团股份有限公司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广州万孚生物技术股份有限公司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台一铜业（广州）有限公司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广州明美新能源股份有限公司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yellow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艾利丹尼森（广州）材料有限公司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蓝月亮（广州）有限公司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广州华糖食品有限公司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广州环投福山环保能源有限公司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阿克苏诺贝尔漆油（广州）有限公司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广州信联智通实业股份有限公司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广州美亚股份有限公司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广州导远电子科技有限公司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广州科城环保科技有限公司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17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广州珐玛珈智能设备股份有限公司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18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广州永旺食品有限公司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19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广州市华达石化有限公司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杰丽斯（广东）日用品有限公司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21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法雷奥舒适驾驶辅助系统（广州）有限公司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花都区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22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广州番禺电缆集团有限公司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番禺区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23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时代广汽动力电池有限公司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番禺区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24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广州市联瑞制药有限公司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广州樱泰汽车饰件有限公司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26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广东芬尼科技股份有限公司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27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广州环投南沙环保能源有限公司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28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东方电气（广州）重型机器有限公司 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yellow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29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广州造纸股份有限公司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30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东方国际集装箱（广州）有限公司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yellow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31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西卡德高（广东）新材料有限公司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从化区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32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广州众山精密科技有限公司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增城区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33</w:t>
            </w:r>
          </w:p>
        </w:tc>
        <w:tc>
          <w:tcPr>
            <w:tcW w:w="3491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lang w:eastAsia="zh-CN"/>
              </w:rPr>
              <w:t>广东坚宝电缆有限公司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增城区</w:t>
            </w:r>
          </w:p>
        </w:tc>
      </w:tr>
    </w:tbl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宋体"/>
    <w:panose1 w:val="020B0500000000000000"/>
    <w:charset w:val="86"/>
    <w:family w:val="swiss"/>
    <w:pitch w:val="default"/>
    <w:sig w:usb0="00000000" w:usb1="00000000" w:usb2="00000016" w:usb3="00000000" w:csb0="602E01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3BA02DB5"/>
    <w:rsid w:val="3BA0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widowControl w:val="0"/>
      <w:ind w:left="420" w:leftChars="20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5">
    <w:name w:val="Table Paragraph"/>
    <w:basedOn w:val="1"/>
    <w:qFormat/>
    <w:uiPriority w:val="0"/>
    <w:pPr>
      <w:autoSpaceDE w:val="0"/>
      <w:autoSpaceDN w:val="0"/>
      <w:jc w:val="left"/>
    </w:pPr>
    <w:rPr>
      <w:rFonts w:ascii="Noto Sans Mono CJK JP Regular" w:hAnsi="Noto Sans Mono CJK JP Regular" w:eastAsia="Times New Roman" w:cs="Noto Sans Mono CJK JP Regular"/>
      <w:kern w:val="0"/>
      <w:sz w:val="22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2024-07-10T03:03:00Z</dcterms:created>
  <dc:creator>lxl</dc:creator>
  <cp:lastModifiedBy>lxl</cp:lastModifiedBy>
  <dcterms:modified xsi:type="dcterms:W3CDTF">2024-07-10T03:03:33Z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3ACB1703E932469CB3FE60F424953142_11</vt:lpwstr>
  </property>
</Properties>
</file>