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6D272">
      <w:pPr>
        <w:rPr>
          <w:rFonts w:hint="eastAsia"/>
          <w:sz w:val="28"/>
          <w:szCs w:val="36"/>
          <w:lang w:eastAsia="zh-CN"/>
        </w:rPr>
      </w:pPr>
      <w:r>
        <w:rPr>
          <w:rFonts w:hint="eastAsia"/>
          <w:sz w:val="28"/>
          <w:szCs w:val="36"/>
          <w:lang w:eastAsia="zh-CN"/>
        </w:rPr>
        <w:t>附件</w:t>
      </w:r>
    </w:p>
    <w:p w14:paraId="7E6E3F1F">
      <w:pPr>
        <w:rPr>
          <w:rFonts w:hint="eastAsia"/>
          <w:lang w:eastAsia="zh-CN"/>
        </w:rPr>
      </w:pP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608"/>
        <w:gridCol w:w="2279"/>
        <w:gridCol w:w="797"/>
        <w:gridCol w:w="967"/>
        <w:gridCol w:w="1998"/>
        <w:gridCol w:w="1957"/>
      </w:tblGrid>
      <w:tr w14:paraId="5C359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5000" w:type="pct"/>
            <w:gridSpan w:val="6"/>
            <w:tcBorders>
              <w:top w:val="nil"/>
              <w:left w:val="nil"/>
              <w:bottom w:val="nil"/>
              <w:right w:val="nil"/>
            </w:tcBorders>
            <w:shd w:val="clear" w:color="auto" w:fill="FFFFFF"/>
            <w:tcMar>
              <w:top w:w="75" w:type="dxa"/>
              <w:left w:w="150" w:type="dxa"/>
              <w:bottom w:w="75" w:type="dxa"/>
              <w:right w:w="150" w:type="dxa"/>
            </w:tcMar>
            <w:vAlign w:val="center"/>
          </w:tcPr>
          <w:p w14:paraId="2D407FB4">
            <w:pPr>
              <w:keepNext w:val="0"/>
              <w:keepLines w:val="0"/>
              <w:widowControl/>
              <w:suppressLineNumbers w:val="0"/>
              <w:wordWrap w:val="0"/>
              <w:jc w:val="center"/>
              <w:textAlignment w:val="center"/>
              <w:rPr>
                <w:rFonts w:ascii="微软雅黑" w:hAnsi="微软雅黑" w:eastAsia="微软雅黑" w:cs="微软雅黑"/>
                <w:i w:val="0"/>
                <w:iCs w:val="0"/>
                <w:caps w:val="0"/>
                <w:color w:val="000000"/>
                <w:spacing w:val="0"/>
                <w:sz w:val="43"/>
                <w:szCs w:val="43"/>
              </w:rPr>
            </w:pPr>
            <w:r>
              <w:rPr>
                <w:rFonts w:hint="eastAsia" w:ascii="微软雅黑" w:hAnsi="微软雅黑" w:eastAsia="微软雅黑" w:cs="微软雅黑"/>
                <w:i w:val="0"/>
                <w:iCs w:val="0"/>
                <w:caps w:val="0"/>
                <w:color w:val="000000"/>
                <w:spacing w:val="0"/>
                <w:kern w:val="0"/>
                <w:sz w:val="30"/>
                <w:szCs w:val="30"/>
                <w:bdr w:val="none" w:color="auto" w:sz="0" w:space="0"/>
                <w:lang w:val="en-US" w:eastAsia="zh-CN" w:bidi="ar"/>
              </w:rPr>
              <w:t>2024年云浮市关于推动制造业高质量发展专项资金（企业技术中心）拟安排计划</w:t>
            </w:r>
          </w:p>
        </w:tc>
      </w:tr>
      <w:tr w14:paraId="4B427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35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B51DE7A">
            <w:pPr>
              <w:keepNext w:val="0"/>
              <w:keepLines w:val="0"/>
              <w:widowControl/>
              <w:suppressLineNumbers w:val="0"/>
              <w:wordWrap w:val="0"/>
              <w:jc w:val="center"/>
              <w:textAlignment w:val="center"/>
              <w:rPr>
                <w:rFonts w:hint="eastAsia" w:ascii="微软雅黑" w:hAnsi="微软雅黑" w:eastAsia="微软雅黑" w:cs="微软雅黑"/>
                <w:b/>
                <w:bCs/>
                <w:i w:val="0"/>
                <w:iCs w:val="0"/>
                <w:caps w:val="0"/>
                <w:color w:val="000000"/>
                <w:spacing w:val="0"/>
                <w:sz w:val="25"/>
                <w:szCs w:val="25"/>
              </w:rPr>
            </w:pPr>
            <w:r>
              <w:rPr>
                <w:rFonts w:hint="eastAsia" w:ascii="微软雅黑" w:hAnsi="微软雅黑" w:eastAsia="微软雅黑" w:cs="微软雅黑"/>
                <w:b/>
                <w:bCs/>
                <w:i w:val="0"/>
                <w:iCs w:val="0"/>
                <w:caps w:val="0"/>
                <w:color w:val="000000"/>
                <w:spacing w:val="0"/>
                <w:kern w:val="0"/>
                <w:sz w:val="25"/>
                <w:szCs w:val="25"/>
                <w:bdr w:val="none" w:color="auto" w:sz="0" w:space="0"/>
                <w:lang w:val="en-US" w:eastAsia="zh-CN" w:bidi="ar"/>
              </w:rPr>
              <w:t>序号</w:t>
            </w:r>
          </w:p>
        </w:tc>
        <w:tc>
          <w:tcPr>
            <w:tcW w:w="132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7C9AA2D">
            <w:pPr>
              <w:keepNext w:val="0"/>
              <w:keepLines w:val="0"/>
              <w:widowControl/>
              <w:suppressLineNumbers w:val="0"/>
              <w:wordWrap w:val="0"/>
              <w:jc w:val="center"/>
              <w:textAlignment w:val="center"/>
              <w:rPr>
                <w:rFonts w:hint="eastAsia" w:ascii="微软雅黑" w:hAnsi="微软雅黑" w:eastAsia="微软雅黑" w:cs="微软雅黑"/>
                <w:b/>
                <w:bCs/>
                <w:i w:val="0"/>
                <w:iCs w:val="0"/>
                <w:caps w:val="0"/>
                <w:color w:val="000000"/>
                <w:spacing w:val="0"/>
                <w:sz w:val="25"/>
                <w:szCs w:val="25"/>
              </w:rPr>
            </w:pPr>
            <w:r>
              <w:rPr>
                <w:rFonts w:hint="eastAsia" w:ascii="微软雅黑" w:hAnsi="微软雅黑" w:eastAsia="微软雅黑" w:cs="微软雅黑"/>
                <w:b/>
                <w:bCs/>
                <w:i w:val="0"/>
                <w:iCs w:val="0"/>
                <w:caps w:val="0"/>
                <w:color w:val="000000"/>
                <w:spacing w:val="0"/>
                <w:kern w:val="0"/>
                <w:sz w:val="25"/>
                <w:szCs w:val="25"/>
                <w:bdr w:val="none" w:color="auto" w:sz="0" w:space="0"/>
                <w:lang w:val="en-US" w:eastAsia="zh-CN" w:bidi="ar"/>
              </w:rPr>
              <w:t>企业名称</w:t>
            </w:r>
          </w:p>
        </w:tc>
        <w:tc>
          <w:tcPr>
            <w:tcW w:w="4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F69FC49">
            <w:pPr>
              <w:keepNext w:val="0"/>
              <w:keepLines w:val="0"/>
              <w:widowControl/>
              <w:suppressLineNumbers w:val="0"/>
              <w:wordWrap w:val="0"/>
              <w:jc w:val="center"/>
              <w:textAlignment w:val="center"/>
              <w:rPr>
                <w:rFonts w:hint="eastAsia" w:ascii="微软雅黑" w:hAnsi="微软雅黑" w:eastAsia="微软雅黑" w:cs="微软雅黑"/>
                <w:b/>
                <w:bCs/>
                <w:i w:val="0"/>
                <w:iCs w:val="0"/>
                <w:caps w:val="0"/>
                <w:color w:val="000000"/>
                <w:spacing w:val="0"/>
                <w:sz w:val="25"/>
                <w:szCs w:val="25"/>
              </w:rPr>
            </w:pPr>
            <w:r>
              <w:rPr>
                <w:rFonts w:hint="eastAsia" w:ascii="微软雅黑" w:hAnsi="微软雅黑" w:eastAsia="微软雅黑" w:cs="微软雅黑"/>
                <w:b/>
                <w:bCs/>
                <w:i w:val="0"/>
                <w:iCs w:val="0"/>
                <w:caps w:val="0"/>
                <w:color w:val="000000"/>
                <w:spacing w:val="0"/>
                <w:kern w:val="0"/>
                <w:sz w:val="25"/>
                <w:szCs w:val="25"/>
                <w:bdr w:val="none" w:color="auto" w:sz="0" w:space="0"/>
                <w:lang w:val="en-US" w:eastAsia="zh-CN" w:bidi="ar"/>
              </w:rPr>
              <w:t>所属地区</w:t>
            </w:r>
          </w:p>
        </w:tc>
        <w:tc>
          <w:tcPr>
            <w:tcW w:w="5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3A6397A">
            <w:pPr>
              <w:keepNext w:val="0"/>
              <w:keepLines w:val="0"/>
              <w:widowControl/>
              <w:suppressLineNumbers w:val="0"/>
              <w:wordWrap w:val="0"/>
              <w:jc w:val="center"/>
              <w:textAlignment w:val="center"/>
              <w:rPr>
                <w:rFonts w:hint="eastAsia" w:ascii="微软雅黑" w:hAnsi="微软雅黑" w:eastAsia="微软雅黑" w:cs="微软雅黑"/>
                <w:b/>
                <w:bCs/>
                <w:i w:val="0"/>
                <w:iCs w:val="0"/>
                <w:caps w:val="0"/>
                <w:color w:val="000000"/>
                <w:spacing w:val="0"/>
                <w:sz w:val="25"/>
                <w:szCs w:val="25"/>
              </w:rPr>
            </w:pPr>
            <w:r>
              <w:rPr>
                <w:rFonts w:hint="eastAsia" w:ascii="微软雅黑" w:hAnsi="微软雅黑" w:eastAsia="微软雅黑" w:cs="微软雅黑"/>
                <w:b/>
                <w:bCs/>
                <w:i w:val="0"/>
                <w:iCs w:val="0"/>
                <w:caps w:val="0"/>
                <w:color w:val="000000"/>
                <w:spacing w:val="0"/>
                <w:kern w:val="0"/>
                <w:sz w:val="25"/>
                <w:szCs w:val="25"/>
                <w:bdr w:val="none" w:color="auto" w:sz="0" w:space="0"/>
                <w:lang w:val="en-US" w:eastAsia="zh-CN" w:bidi="ar"/>
              </w:rPr>
              <w:t>拟安排金额</w:t>
            </w:r>
            <w:r>
              <w:rPr>
                <w:rFonts w:hint="eastAsia" w:ascii="微软雅黑" w:hAnsi="微软雅黑" w:eastAsia="微软雅黑" w:cs="微软雅黑"/>
                <w:b/>
                <w:bCs/>
                <w:i w:val="0"/>
                <w:iCs w:val="0"/>
                <w:caps w:val="0"/>
                <w:color w:val="000000"/>
                <w:spacing w:val="0"/>
                <w:kern w:val="0"/>
                <w:sz w:val="25"/>
                <w:szCs w:val="25"/>
                <w:bdr w:val="none" w:color="auto" w:sz="0" w:space="0"/>
                <w:lang w:val="en-US" w:eastAsia="zh-CN" w:bidi="ar"/>
              </w:rPr>
              <w:br w:type="textWrapping"/>
            </w:r>
            <w:r>
              <w:rPr>
                <w:rFonts w:hint="eastAsia" w:ascii="微软雅黑" w:hAnsi="微软雅黑" w:eastAsia="微软雅黑" w:cs="微软雅黑"/>
                <w:b/>
                <w:bCs/>
                <w:i w:val="0"/>
                <w:iCs w:val="0"/>
                <w:caps w:val="0"/>
                <w:color w:val="000000"/>
                <w:spacing w:val="0"/>
                <w:kern w:val="0"/>
                <w:sz w:val="25"/>
                <w:szCs w:val="25"/>
                <w:bdr w:val="none" w:color="auto" w:sz="0" w:space="0"/>
                <w:lang w:val="en-US" w:eastAsia="zh-CN" w:bidi="ar"/>
              </w:rPr>
              <w:t>(万元)</w:t>
            </w:r>
          </w:p>
        </w:tc>
        <w:tc>
          <w:tcPr>
            <w:tcW w:w="116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362B603">
            <w:pPr>
              <w:keepNext w:val="0"/>
              <w:keepLines w:val="0"/>
              <w:widowControl/>
              <w:suppressLineNumbers w:val="0"/>
              <w:wordWrap w:val="0"/>
              <w:jc w:val="center"/>
              <w:textAlignment w:val="center"/>
              <w:rPr>
                <w:rFonts w:hint="eastAsia" w:ascii="微软雅黑" w:hAnsi="微软雅黑" w:eastAsia="微软雅黑" w:cs="微软雅黑"/>
                <w:b/>
                <w:bCs/>
                <w:i w:val="0"/>
                <w:iCs w:val="0"/>
                <w:caps w:val="0"/>
                <w:color w:val="000000"/>
                <w:spacing w:val="0"/>
                <w:sz w:val="25"/>
                <w:szCs w:val="25"/>
              </w:rPr>
            </w:pPr>
            <w:r>
              <w:rPr>
                <w:rFonts w:hint="eastAsia" w:ascii="微软雅黑" w:hAnsi="微软雅黑" w:eastAsia="微软雅黑" w:cs="微软雅黑"/>
                <w:b/>
                <w:bCs/>
                <w:i w:val="0"/>
                <w:iCs w:val="0"/>
                <w:caps w:val="0"/>
                <w:color w:val="000000"/>
                <w:spacing w:val="0"/>
                <w:kern w:val="0"/>
                <w:sz w:val="25"/>
                <w:szCs w:val="25"/>
                <w:bdr w:val="none" w:color="auto" w:sz="0" w:space="0"/>
                <w:lang w:val="en-US" w:eastAsia="zh-CN" w:bidi="ar"/>
              </w:rPr>
              <w:t>企业技术中心认定情况</w:t>
            </w:r>
          </w:p>
        </w:tc>
        <w:tc>
          <w:tcPr>
            <w:tcW w:w="113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33A9C90">
            <w:pPr>
              <w:keepNext w:val="0"/>
              <w:keepLines w:val="0"/>
              <w:widowControl/>
              <w:suppressLineNumbers w:val="0"/>
              <w:wordWrap w:val="0"/>
              <w:jc w:val="center"/>
              <w:textAlignment w:val="center"/>
              <w:rPr>
                <w:rFonts w:hint="eastAsia" w:ascii="微软雅黑" w:hAnsi="微软雅黑" w:eastAsia="微软雅黑" w:cs="微软雅黑"/>
                <w:b/>
                <w:bCs/>
                <w:i w:val="0"/>
                <w:iCs w:val="0"/>
                <w:caps w:val="0"/>
                <w:color w:val="000000"/>
                <w:spacing w:val="0"/>
                <w:sz w:val="25"/>
                <w:szCs w:val="25"/>
              </w:rPr>
            </w:pPr>
            <w:r>
              <w:rPr>
                <w:rFonts w:hint="eastAsia" w:ascii="微软雅黑" w:hAnsi="微软雅黑" w:eastAsia="微软雅黑" w:cs="微软雅黑"/>
                <w:b/>
                <w:bCs/>
                <w:i w:val="0"/>
                <w:iCs w:val="0"/>
                <w:caps w:val="0"/>
                <w:color w:val="000000"/>
                <w:spacing w:val="0"/>
                <w:kern w:val="0"/>
                <w:sz w:val="25"/>
                <w:szCs w:val="25"/>
                <w:bdr w:val="none" w:color="auto" w:sz="0" w:space="0"/>
                <w:lang w:val="en-US" w:eastAsia="zh-CN" w:bidi="ar"/>
              </w:rPr>
              <w:t>备注</w:t>
            </w:r>
          </w:p>
        </w:tc>
      </w:tr>
      <w:tr w14:paraId="53C43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35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725CD2E">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1</w:t>
            </w:r>
          </w:p>
        </w:tc>
        <w:tc>
          <w:tcPr>
            <w:tcW w:w="132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61D5424">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广东雷允上药业有限公司</w:t>
            </w:r>
          </w:p>
        </w:tc>
        <w:tc>
          <w:tcPr>
            <w:tcW w:w="4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3CE8584">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云安区</w:t>
            </w:r>
          </w:p>
        </w:tc>
        <w:tc>
          <w:tcPr>
            <w:tcW w:w="5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64B90AB">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w:t>
            </w:r>
          </w:p>
        </w:tc>
        <w:tc>
          <w:tcPr>
            <w:tcW w:w="116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77C8520">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2023年新认定省级企业技术中心</w:t>
            </w:r>
          </w:p>
        </w:tc>
        <w:tc>
          <w:tcPr>
            <w:tcW w:w="113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D71CC7C">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市级：6.6万元</w:t>
            </w: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云安区：13.4万元</w:t>
            </w:r>
          </w:p>
        </w:tc>
      </w:tr>
      <w:tr w14:paraId="3445B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35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38E987D">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w:t>
            </w:r>
          </w:p>
        </w:tc>
        <w:tc>
          <w:tcPr>
            <w:tcW w:w="132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BB8D276">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雅达电子（罗定）有限公司</w:t>
            </w:r>
          </w:p>
        </w:tc>
        <w:tc>
          <w:tcPr>
            <w:tcW w:w="4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6B5CF5C">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罗定市</w:t>
            </w:r>
          </w:p>
        </w:tc>
        <w:tc>
          <w:tcPr>
            <w:tcW w:w="5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301B305">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10</w:t>
            </w:r>
          </w:p>
        </w:tc>
        <w:tc>
          <w:tcPr>
            <w:tcW w:w="116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6393004">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2023年新认定市级企业技术中心</w:t>
            </w:r>
          </w:p>
        </w:tc>
        <w:tc>
          <w:tcPr>
            <w:tcW w:w="113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A847ABC">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由罗定市负责</w:t>
            </w:r>
          </w:p>
        </w:tc>
      </w:tr>
      <w:tr w14:paraId="7BA17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35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5DD1F20">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3</w:t>
            </w:r>
          </w:p>
        </w:tc>
        <w:tc>
          <w:tcPr>
            <w:tcW w:w="132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EE54A1C">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广东星光脂胶科技股份有限公司</w:t>
            </w:r>
          </w:p>
        </w:tc>
        <w:tc>
          <w:tcPr>
            <w:tcW w:w="4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81B1128">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罗定市</w:t>
            </w:r>
          </w:p>
        </w:tc>
        <w:tc>
          <w:tcPr>
            <w:tcW w:w="5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2373873">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10</w:t>
            </w:r>
          </w:p>
        </w:tc>
        <w:tc>
          <w:tcPr>
            <w:tcW w:w="116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E0170F0">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2023年新认定市级企业技术中心</w:t>
            </w:r>
          </w:p>
        </w:tc>
        <w:tc>
          <w:tcPr>
            <w:tcW w:w="113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274FB6D">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由罗定市负责</w:t>
            </w:r>
          </w:p>
        </w:tc>
      </w:tr>
      <w:tr w14:paraId="4923D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35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12AE376">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4</w:t>
            </w:r>
          </w:p>
        </w:tc>
        <w:tc>
          <w:tcPr>
            <w:tcW w:w="132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BE94592">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广东微容电子科技有限公司</w:t>
            </w:r>
          </w:p>
        </w:tc>
        <w:tc>
          <w:tcPr>
            <w:tcW w:w="4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F0CF857">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罗定市</w:t>
            </w:r>
          </w:p>
        </w:tc>
        <w:tc>
          <w:tcPr>
            <w:tcW w:w="5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F20F784">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10</w:t>
            </w:r>
          </w:p>
        </w:tc>
        <w:tc>
          <w:tcPr>
            <w:tcW w:w="116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FBED76D">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2023年新认定市级企业技术中心</w:t>
            </w:r>
          </w:p>
        </w:tc>
        <w:tc>
          <w:tcPr>
            <w:tcW w:w="113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78EA1F9">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由罗定市负责</w:t>
            </w:r>
          </w:p>
        </w:tc>
      </w:tr>
      <w:tr w14:paraId="14CDF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35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685BF76">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5</w:t>
            </w:r>
          </w:p>
        </w:tc>
        <w:tc>
          <w:tcPr>
            <w:tcW w:w="132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65BD318">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广东温氏大华农生物科技有限公司</w:t>
            </w:r>
          </w:p>
        </w:tc>
        <w:tc>
          <w:tcPr>
            <w:tcW w:w="4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57330E1">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新兴县</w:t>
            </w:r>
          </w:p>
        </w:tc>
        <w:tc>
          <w:tcPr>
            <w:tcW w:w="5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6707E87">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w:t>
            </w:r>
          </w:p>
        </w:tc>
        <w:tc>
          <w:tcPr>
            <w:tcW w:w="116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7E94A16">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2023年新认定省级企业技术中心</w:t>
            </w:r>
          </w:p>
        </w:tc>
        <w:tc>
          <w:tcPr>
            <w:tcW w:w="113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C2FFE4D">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由新兴县负责</w:t>
            </w:r>
          </w:p>
        </w:tc>
      </w:tr>
      <w:tr w14:paraId="1FAE6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353"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F9C20FB">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6</w:t>
            </w:r>
          </w:p>
        </w:tc>
        <w:tc>
          <w:tcPr>
            <w:tcW w:w="132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D26C09E">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新兴县先丰不锈钢制品有限公司</w:t>
            </w:r>
          </w:p>
        </w:tc>
        <w:tc>
          <w:tcPr>
            <w:tcW w:w="4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1A250F9">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新兴县</w:t>
            </w:r>
          </w:p>
        </w:tc>
        <w:tc>
          <w:tcPr>
            <w:tcW w:w="5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EA4E115">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10</w:t>
            </w:r>
          </w:p>
        </w:tc>
        <w:tc>
          <w:tcPr>
            <w:tcW w:w="116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F31E948">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2023年新认定市级企业技术中心</w:t>
            </w:r>
          </w:p>
        </w:tc>
        <w:tc>
          <w:tcPr>
            <w:tcW w:w="113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9AC2172">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bdr w:val="none" w:color="auto" w:sz="0" w:space="0"/>
                <w:lang w:val="en-US" w:eastAsia="zh-CN" w:bidi="ar"/>
              </w:rPr>
              <w:t>由新兴县负责</w:t>
            </w:r>
          </w:p>
        </w:tc>
      </w:tr>
      <w:tr w14:paraId="6B6A9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2140" w:type="pct"/>
            <w:gridSpan w:val="3"/>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DF374A9">
            <w:pPr>
              <w:keepNext w:val="0"/>
              <w:keepLines w:val="0"/>
              <w:widowControl/>
              <w:suppressLineNumbers w:val="0"/>
              <w:wordWrap w:val="0"/>
              <w:jc w:val="center"/>
              <w:textAlignment w:val="center"/>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合计</w:t>
            </w:r>
          </w:p>
        </w:tc>
        <w:tc>
          <w:tcPr>
            <w:tcW w:w="5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C76B5F2">
            <w:pPr>
              <w:keepNext w:val="0"/>
              <w:keepLines w:val="0"/>
              <w:widowControl/>
              <w:suppressLineNumbers w:val="0"/>
              <w:wordWrap w:val="0"/>
              <w:jc w:val="center"/>
              <w:textAlignment w:val="center"/>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80</w:t>
            </w:r>
          </w:p>
        </w:tc>
        <w:tc>
          <w:tcPr>
            <w:tcW w:w="1161"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52B6C1A">
            <w:pPr>
              <w:jc w:val="center"/>
              <w:rPr>
                <w:rFonts w:hint="eastAsia" w:ascii="微软雅黑" w:hAnsi="微软雅黑" w:eastAsia="微软雅黑" w:cs="微软雅黑"/>
                <w:b/>
                <w:bCs/>
                <w:i w:val="0"/>
                <w:iCs w:val="0"/>
                <w:caps w:val="0"/>
                <w:color w:val="000000"/>
                <w:spacing w:val="0"/>
                <w:sz w:val="24"/>
                <w:szCs w:val="24"/>
              </w:rPr>
            </w:pPr>
          </w:p>
        </w:tc>
        <w:tc>
          <w:tcPr>
            <w:tcW w:w="113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2A1B593">
            <w:pPr>
              <w:keepNext w:val="0"/>
              <w:keepLines w:val="0"/>
              <w:widowControl/>
              <w:suppressLineNumbers w:val="0"/>
              <w:wordWrap w:val="0"/>
              <w:jc w:val="center"/>
              <w:textAlignment w:val="center"/>
              <w:rPr>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市级：6.6万元</w:t>
            </w: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br w:type="textWrapping"/>
            </w: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云安区：13.4万元</w:t>
            </w: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br w:type="textWrapping"/>
            </w: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罗定市：30万元</w:t>
            </w: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br w:type="textWrapping"/>
            </w:r>
            <w:r>
              <w:rPr>
                <w:rFonts w:hint="eastAsia" w:ascii="微软雅黑" w:hAnsi="微软雅黑" w:eastAsia="微软雅黑" w:cs="微软雅黑"/>
                <w:b/>
                <w:bCs/>
                <w:i w:val="0"/>
                <w:iCs w:val="0"/>
                <w:caps w:val="0"/>
                <w:color w:val="000000"/>
                <w:spacing w:val="0"/>
                <w:kern w:val="0"/>
                <w:sz w:val="24"/>
                <w:szCs w:val="24"/>
                <w:bdr w:val="none" w:color="auto" w:sz="0" w:space="0"/>
                <w:lang w:val="en-US" w:eastAsia="zh-CN" w:bidi="ar"/>
              </w:rPr>
              <w:t>新兴县：30万元</w:t>
            </w:r>
          </w:p>
        </w:tc>
      </w:tr>
      <w:tr w14:paraId="28AFD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5000" w:type="pct"/>
            <w:gridSpan w:val="6"/>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505A8D1">
            <w:pPr>
              <w:keepNext w:val="0"/>
              <w:keepLines w:val="0"/>
              <w:widowControl/>
              <w:suppressLineNumbers w:val="0"/>
              <w:wordWrap w:val="0"/>
              <w:jc w:val="left"/>
              <w:textAlignment w:val="center"/>
              <w:rPr>
                <w:rFonts w:hint="eastAsia" w:ascii="微软雅黑" w:hAnsi="微软雅黑" w:eastAsia="微软雅黑" w:cs="微软雅黑"/>
                <w:i w:val="0"/>
                <w:iCs w:val="0"/>
                <w:caps w:val="0"/>
                <w:color w:val="000000"/>
                <w:spacing w:val="0"/>
                <w:sz w:val="22"/>
                <w:szCs w:val="22"/>
              </w:rPr>
            </w:pPr>
            <w:r>
              <w:rPr>
                <w:rFonts w:hint="eastAsia" w:ascii="微软雅黑" w:hAnsi="微软雅黑" w:eastAsia="微软雅黑" w:cs="微软雅黑"/>
                <w:i w:val="0"/>
                <w:iCs w:val="0"/>
                <w:caps w:val="0"/>
                <w:color w:val="000000"/>
                <w:spacing w:val="0"/>
                <w:kern w:val="0"/>
                <w:sz w:val="22"/>
                <w:szCs w:val="22"/>
                <w:bdr w:val="none" w:color="auto" w:sz="0" w:space="0"/>
                <w:lang w:val="en-US" w:eastAsia="zh-CN" w:bidi="ar"/>
              </w:rPr>
              <w:t>注：根据《云浮市人民政府办公室关于印发云浮市关于推动制造业高质量发展的若干政策措施的通知》，本政策所涉及的奖补资金，由市及企业属地政府统筹解决，除已有文件规定外，按照市级财政与企业所在县（市、区）财政按税收收入分成比例分担（市级财政与云城区资金分担比例为67：33，市级财政与云安区资金分担比例为33：67，罗定市、新兴县涉及有关资金由县级财政自行承担）。</w:t>
            </w:r>
          </w:p>
        </w:tc>
      </w:tr>
    </w:tbl>
    <w:p w14:paraId="03D1EA4A">
      <w:pPr>
        <w:rPr>
          <w:rFonts w:hint="eastAsia"/>
          <w:lang w:eastAsia="zh-CN"/>
        </w:rPr>
      </w:pPr>
    </w:p>
    <w:p w14:paraId="1979D3C8">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0AD45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2024-08-15T03:22:18Z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7D151D1360114E698C4538E9BF13AC0D_12</vt:lpwstr>
  </property>
</Properties>
</file>