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17D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40" w:lineRule="auto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 w14:paraId="43E9F5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40" w:lineRule="auto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</w:pPr>
      <w:bookmarkStart w:id="0" w:name="_GoBack"/>
      <w:bookmarkEnd w:id="0"/>
    </w:p>
    <w:p w14:paraId="7B271E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2024年度广州市荔湾区软课题研究项目拟立项清单（征求意见稿）</w:t>
      </w:r>
    </w:p>
    <w:p w14:paraId="093F4A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40" w:lineRule="auto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</w:rPr>
      </w:pPr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1157"/>
        <w:gridCol w:w="1590"/>
        <w:gridCol w:w="1285"/>
        <w:gridCol w:w="1285"/>
        <w:gridCol w:w="648"/>
        <w:gridCol w:w="649"/>
        <w:gridCol w:w="691"/>
        <w:gridCol w:w="756"/>
      </w:tblGrid>
      <w:tr w14:paraId="2689B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0F6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68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BF41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项目类型</w:t>
            </w:r>
          </w:p>
        </w:tc>
        <w:tc>
          <w:tcPr>
            <w:tcW w:w="93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66A1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75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5623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申报单位</w:t>
            </w:r>
          </w:p>
        </w:tc>
        <w:tc>
          <w:tcPr>
            <w:tcW w:w="75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E36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合作单位</w:t>
            </w:r>
          </w:p>
        </w:tc>
        <w:tc>
          <w:tcPr>
            <w:tcW w:w="38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ACAF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资助方式</w:t>
            </w:r>
          </w:p>
        </w:tc>
        <w:tc>
          <w:tcPr>
            <w:tcW w:w="38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BB9E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项目金额</w:t>
            </w:r>
          </w:p>
        </w:tc>
        <w:tc>
          <w:tcPr>
            <w:tcW w:w="38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CA99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2024年拟拨付经费（万元）</w:t>
            </w:r>
          </w:p>
        </w:tc>
        <w:tc>
          <w:tcPr>
            <w:tcW w:w="44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18F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验收通过后拨付经费（万元）</w:t>
            </w:r>
          </w:p>
        </w:tc>
      </w:tr>
      <w:tr w14:paraId="09B46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E7C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6CBE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left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深入推进生产性服务业，服务珠西制造</w:t>
            </w:r>
          </w:p>
        </w:tc>
        <w:tc>
          <w:tcPr>
            <w:tcW w:w="9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01ED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荔湾区生产性服务业融合发展服务珠西制造对策研究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4FB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广州昀道企业管理咨询有限公司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55A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广州生产力促进中心有限公司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78F9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分批资助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53D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892B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A6E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</w:tr>
      <w:tr w14:paraId="329E7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1F5D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FE5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left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研究创新街区建设发展，加快实现老城市新活力</w:t>
            </w:r>
          </w:p>
        </w:tc>
        <w:tc>
          <w:tcPr>
            <w:tcW w:w="9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0FA0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广州彩虹活力新质街区高质量发展项目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EDF4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荔湾区彩虹街道办事处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2B5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6BA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分批资助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51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4BE3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94AD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</w:tr>
      <w:tr w14:paraId="67E5E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37B1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82" w:type="pc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32C6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left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荔湾区科技成果转移转化，加快培育新质生产力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25B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荔湾区推动科技成果转化形成新质生产力对策研究</w:t>
            </w:r>
          </w:p>
        </w:tc>
        <w:tc>
          <w:tcPr>
            <w:tcW w:w="75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16C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广州市粤政索顿信息科技有限公司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CE33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广州生产力促进中心有限公司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E30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分批资助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93AF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0F8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43BF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</w:tr>
      <w:tr w14:paraId="4D2E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6BD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8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F8F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left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荔湾区激光与增材制造战略性新兴产业现状分析及对策建议</w:t>
            </w:r>
          </w:p>
        </w:tc>
        <w:tc>
          <w:tcPr>
            <w:tcW w:w="93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DD32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2024年度广州市荔湾区软课题项目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E26B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广州天域城市规划策划服务有限公司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5F45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389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分批资助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EF72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57B5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B61D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</w:tr>
      <w:tr w14:paraId="5720C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A713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56CC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left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荔湾区中医药与饮食文化融合发展</w:t>
            </w:r>
          </w:p>
        </w:tc>
        <w:tc>
          <w:tcPr>
            <w:tcW w:w="9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5EAB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粤帮炮制和饮食文化书籍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AF9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广州采芝林药业有限公司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398D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C68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分批资助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912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16C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512C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</w:tr>
      <w:tr w14:paraId="7DE3C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2762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C682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left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荔湾区推进新型储能产业高质量发展</w:t>
            </w:r>
          </w:p>
        </w:tc>
        <w:tc>
          <w:tcPr>
            <w:tcW w:w="93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2C96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广州市荔湾区推荐新型储能产业高质量发展研究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B64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广州亿华通新能源科技有限公司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7B6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216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分批资助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D9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F23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E7A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</w:tr>
    </w:tbl>
    <w:p w14:paraId="6E6AD163"/>
    <w:p w14:paraId="78E410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839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2024-08-02T02:20:27Z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271E89448B6749A3971086993CCBADD7_12</vt:lpwstr>
  </property>
</Properties>
</file>