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AD8B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r>
        <w:rPr>
          <w:rFonts w:hint="eastAsia" w:ascii="Times New Roman" w:hAnsi="Times New Roman" w:eastAsia="黑体" w:cs="黑体"/>
          <w:sz w:val="32"/>
          <w:szCs w:val="32"/>
          <w:lang w:val="en-US" w:eastAsia="zh-CN"/>
        </w:rPr>
        <w:t>2</w:t>
      </w:r>
    </w:p>
    <w:p w14:paraId="4F6C14AC">
      <w:pPr>
        <w:pStyle w:val="2"/>
        <w:keepNext w:val="0"/>
        <w:keepLines w:val="0"/>
        <w:pageBreakBefore w:val="0"/>
        <w:widowControl w:val="0"/>
        <w:kinsoku/>
        <w:wordWrap/>
        <w:overflowPunct/>
        <w:topLinePunct w:val="0"/>
        <w:autoSpaceDE/>
        <w:autoSpaceDN/>
        <w:bidi w:val="0"/>
        <w:adjustRightInd/>
        <w:snapToGrid/>
        <w:spacing w:before="0" w:after="0" w:line="600" w:lineRule="exact"/>
        <w:textAlignment w:val="auto"/>
        <w:rPr>
          <w:rFonts w:hint="eastAsia"/>
          <w:lang w:val="en-US" w:eastAsia="zh-CN"/>
        </w:rPr>
      </w:pPr>
    </w:p>
    <w:tbl>
      <w:tblPr>
        <w:tblStyle w:val="5"/>
        <w:tblW w:w="880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2139"/>
        <w:gridCol w:w="4110"/>
        <w:gridCol w:w="1479"/>
      </w:tblGrid>
      <w:tr w14:paraId="7A337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8808" w:type="dxa"/>
            <w:gridSpan w:val="4"/>
            <w:tcBorders>
              <w:top w:val="nil"/>
              <w:left w:val="nil"/>
              <w:bottom w:val="nil"/>
              <w:right w:val="nil"/>
            </w:tcBorders>
            <w:noWrap/>
            <w:vAlign w:val="center"/>
          </w:tcPr>
          <w:p w14:paraId="0AA81A3A">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sz w:val="44"/>
                <w:szCs w:val="44"/>
                <w:lang w:val="en-US" w:eastAsia="zh-CN"/>
              </w:rPr>
            </w:pPr>
            <w:bookmarkStart w:id="0" w:name="_GoBack"/>
            <w:r>
              <w:rPr>
                <w:rFonts w:hint="eastAsia" w:ascii="Times New Roman" w:hAnsi="Times New Roman" w:eastAsia="方正小标宋简体" w:cs="方正小标宋简体"/>
                <w:sz w:val="44"/>
                <w:szCs w:val="44"/>
                <w:lang w:val="en-US" w:eastAsia="zh-CN"/>
              </w:rPr>
              <w:t>2024</w:t>
            </w:r>
            <w:r>
              <w:rPr>
                <w:rFonts w:hint="eastAsia" w:ascii="方正小标宋简体" w:hAnsi="方正小标宋简体" w:eastAsia="方正小标宋简体" w:cs="方正小标宋简体"/>
                <w:sz w:val="44"/>
                <w:szCs w:val="44"/>
                <w:lang w:val="en-US" w:eastAsia="zh-CN"/>
              </w:rPr>
              <w:t>年广州市“人工智能+”优秀</w:t>
            </w:r>
          </w:p>
          <w:p w14:paraId="0F190671">
            <w:pPr>
              <w:keepNext w:val="0"/>
              <w:keepLines w:val="0"/>
              <w:pageBreakBefore w:val="0"/>
              <w:widowControl w:val="0"/>
              <w:suppressLineNumbers w:val="0"/>
              <w:kinsoku/>
              <w:wordWrap/>
              <w:overflowPunct/>
              <w:topLinePunct w:val="0"/>
              <w:autoSpaceDE/>
              <w:autoSpaceDN/>
              <w:bidi w:val="0"/>
              <w:adjustRightInd/>
              <w:snapToGrid/>
              <w:spacing w:line="600" w:lineRule="exact"/>
              <w:jc w:val="center"/>
              <w:textAlignment w:val="center"/>
              <w:rPr>
                <w:rFonts w:hint="eastAsia" w:ascii="方正小标宋简体" w:hAnsi="方正小标宋简体" w:eastAsia="方正小标宋简体" w:cs="方正小标宋简体"/>
                <w:b/>
                <w:i w:val="0"/>
                <w:color w:val="000000"/>
                <w:sz w:val="44"/>
                <w:szCs w:val="44"/>
                <w:u w:val="none"/>
              </w:rPr>
            </w:pPr>
            <w:r>
              <w:rPr>
                <w:rFonts w:hint="eastAsia" w:ascii="方正小标宋简体" w:hAnsi="方正小标宋简体" w:eastAsia="方正小标宋简体" w:cs="方正小标宋简体"/>
                <w:sz w:val="44"/>
                <w:szCs w:val="44"/>
                <w:lang w:val="en-US" w:eastAsia="zh-CN"/>
              </w:rPr>
              <w:t>解决方案入册名单</w:t>
            </w:r>
            <w:bookmarkEnd w:id="0"/>
          </w:p>
        </w:tc>
      </w:tr>
      <w:tr w14:paraId="49A62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4F85E8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1CC552E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广州华佳软件有限公司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5920B8F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智慧地铁大脑解决方案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1F9311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589E5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3E2C3C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1DA284CC">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北明软件有限公司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7A2AA5A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人工智能+城市治理（一网统管）解决方案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274660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4A44F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747759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2410749">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广州天奕技术股份有限公司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730E7CD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轨道交通无线智能感知系统</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7635E64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315A3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8B76D7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24526297">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广州博依特智能信息科技有限公司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79ADAC53">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流程工业生产过程工艺</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0329ED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69F96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D249D5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5</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0550E8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广州视声智能股份有限公司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E88610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全套</w:t>
            </w:r>
            <w:r>
              <w:rPr>
                <w:rFonts w:hint="eastAsia" w:ascii="Times New Roman" w:hAnsi="Times New Roman" w:eastAsia="宋体" w:cs="宋体"/>
                <w:i w:val="0"/>
                <w:color w:val="000000"/>
                <w:kern w:val="0"/>
                <w:sz w:val="20"/>
                <w:szCs w:val="20"/>
                <w:u w:val="none"/>
                <w:lang w:val="en-US" w:eastAsia="zh-CN" w:bidi="ar"/>
              </w:rPr>
              <w:t>KNX</w:t>
            </w:r>
            <w:r>
              <w:rPr>
                <w:rFonts w:hint="eastAsia" w:ascii="宋体" w:hAnsi="宋体" w:eastAsia="宋体" w:cs="宋体"/>
                <w:i w:val="0"/>
                <w:color w:val="000000"/>
                <w:kern w:val="0"/>
                <w:sz w:val="20"/>
                <w:szCs w:val="20"/>
                <w:u w:val="none"/>
                <w:lang w:val="en-US" w:eastAsia="zh-CN" w:bidi="ar"/>
              </w:rPr>
              <w:t>智能家居系统解决方案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448454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20E7F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F4AAA9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6</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2C7D4A5B">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广州交信投科技股份有限公司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2D7200B">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视频与数据融合的交通运输综合治理解决方案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7021A20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3F1B0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B75F34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7</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1150B15C">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广东省广告集团股份有限公司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1D428B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基于人工智能技术的灵犀</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营销平台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3478E5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海珠区</w:t>
            </w:r>
          </w:p>
        </w:tc>
      </w:tr>
      <w:tr w14:paraId="4EACE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67765F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8</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941F94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广州云趣信息科技有限公司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6B0FD8E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大模型驱动的数智金融外呼平台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019064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6BA3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8C3D2B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9</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9ACAF5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科大讯飞华南有限公司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A224A39">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基于生成式人工智能技术的数字化智能化教育教学工具</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12722B4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海珠区</w:t>
            </w:r>
          </w:p>
        </w:tc>
      </w:tr>
      <w:tr w14:paraId="51F32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AC77D9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10</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4F441EAE">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广东南方数码科技股份有限公司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11E19DC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南方数码遥感影像智能解译和变化检测解决方案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B42293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72681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789CAF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11</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89375E2">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广州工业智能研究院</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14D1C6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纺织印染生产智能化管控解决方案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6CAC35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4E249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D32F41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12</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760583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佳都科技集团股份有限公司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67542663">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城市交通大脑解决方案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782D49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番禺区</w:t>
            </w:r>
          </w:p>
        </w:tc>
      </w:tr>
      <w:tr w14:paraId="1E357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1982AD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13</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23FAE25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网思科技股份有限公司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EDB06C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AlphaMind</w:t>
            </w:r>
            <w:r>
              <w:rPr>
                <w:rFonts w:hint="eastAsia" w:ascii="宋体" w:hAnsi="宋体" w:eastAsia="宋体" w:cs="宋体"/>
                <w:i w:val="0"/>
                <w:color w:val="000000"/>
                <w:kern w:val="0"/>
                <w:sz w:val="20"/>
                <w:szCs w:val="20"/>
                <w:u w:val="none"/>
                <w:lang w:val="en-US" w:eastAsia="zh-CN" w:bidi="ar"/>
              </w:rPr>
              <w:t xml:space="preserve"> </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 xml:space="preserve"> 能力开放平台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DBBA0D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1BD8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15549C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14</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3111479">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广州金域医学检验集团股份有限公司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59245F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域见医言大模型</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11AB631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49008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2D978C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15</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856E05C">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广州市赛皓达智能科技有限公司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58E0366C">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基于激光点云与光谱融合技术的输电线路廊道典型树种识别及测距定位技术研究与应用</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C5AD8E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7CD63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635A99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16</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4AC301C7">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星河智联汽车科技有限公司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CF41CD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SYNCORE</w:t>
            </w:r>
            <w:r>
              <w:rPr>
                <w:rFonts w:hint="eastAsia" w:ascii="宋体" w:hAnsi="宋体" w:eastAsia="宋体" w:cs="宋体"/>
                <w:i w:val="0"/>
                <w:color w:val="000000"/>
                <w:kern w:val="0"/>
                <w:sz w:val="20"/>
                <w:szCs w:val="20"/>
                <w:u w:val="none"/>
                <w:lang w:val="en-US" w:eastAsia="zh-CN" w:bidi="ar"/>
              </w:rPr>
              <w:t>大模型智能座舱操作系统</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26E92D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38D27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26C6BC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17</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6AA70F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联通（广东）产业互联网有限公司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694D8AF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+基层治理智慧街镇基础平台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BBEA03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27E6C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E8CA71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18</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743DA5B">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广州英码信息科技有限公司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90D700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智慧化工解决方案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8D52B8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0665E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16207F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19</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0C906E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联友智连科技有限公司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72365142">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联友</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语音平台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9032FF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花都区</w:t>
            </w:r>
          </w:p>
        </w:tc>
      </w:tr>
      <w:tr w14:paraId="3FEB1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AA89AA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20</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48F2DF5C">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广州晟能电子科技有限公司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53EA883E">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 xml:space="preserve">视频分析的安全生产解决方案 </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51FC68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54B5D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129BC5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21</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357481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广东华之源信息工程有限公司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AA5E06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智能综合监控解决方案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D7E6BD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7BBB5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98B97B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22</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73B4FFD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广东恒电信息科技股份有限公司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49B276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人工智能通识教学平台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5A476C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3AB55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E01D45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23</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7366D18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广州方舟信息科技有限公司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46309DC">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方舟健客</w:t>
            </w:r>
            <w:r>
              <w:rPr>
                <w:rFonts w:hint="eastAsia" w:ascii="Times New Roman" w:hAnsi="Times New Roman" w:eastAsia="宋体" w:cs="宋体"/>
                <w:i w:val="0"/>
                <w:color w:val="000000"/>
                <w:kern w:val="0"/>
                <w:sz w:val="20"/>
                <w:szCs w:val="20"/>
                <w:u w:val="none"/>
                <w:lang w:val="en-US" w:eastAsia="zh-CN" w:bidi="ar"/>
              </w:rPr>
              <w:t>H2H</w:t>
            </w:r>
            <w:r>
              <w:rPr>
                <w:rFonts w:hint="eastAsia" w:ascii="宋体" w:hAnsi="宋体" w:eastAsia="宋体" w:cs="宋体"/>
                <w:i w:val="0"/>
                <w:color w:val="000000"/>
                <w:kern w:val="0"/>
                <w:sz w:val="20"/>
                <w:szCs w:val="20"/>
                <w:u w:val="none"/>
                <w:lang w:val="en-US" w:eastAsia="zh-CN" w:bidi="ar"/>
              </w:rPr>
              <w:t>智慧医疗新生态创新平台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86A4151">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032CD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E92A10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24</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AF1239E">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南方电网数字企业科技（广东）有限公司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CB6446B">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职业技能培评数智化平台解决方案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A9652B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越秀区</w:t>
            </w:r>
          </w:p>
        </w:tc>
      </w:tr>
      <w:tr w14:paraId="24756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73E511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25</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C8BF55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广东辛孚科技有限公司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E5336C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重质油快速评价解决方案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77F9F78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3190E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BADED9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26</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2C3330E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广科通立（广东）数据服务有限公司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32C1B49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交通路网运行态势感知数据服务平台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023E334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524B7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07C23D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27</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4B75288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广东宜通联云智能信息有限公司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7389339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企业</w:t>
            </w: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智能助手</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5B2F7DA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074AE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E29F0E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28</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7FBDFD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宏景科技股份有限公司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1CC9682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基于国产化的</w:t>
            </w:r>
            <w:r>
              <w:rPr>
                <w:rFonts w:hint="eastAsia" w:ascii="Times New Roman" w:hAnsi="Times New Roman" w:eastAsia="宋体" w:cs="宋体"/>
                <w:i w:val="0"/>
                <w:color w:val="000000"/>
                <w:kern w:val="0"/>
                <w:sz w:val="20"/>
                <w:szCs w:val="20"/>
                <w:u w:val="none"/>
                <w:lang w:val="en-US" w:eastAsia="zh-CN" w:bidi="ar"/>
              </w:rPr>
              <w:t>AIOT</w:t>
            </w:r>
            <w:r>
              <w:rPr>
                <w:rFonts w:hint="eastAsia" w:ascii="宋体" w:hAnsi="宋体" w:eastAsia="宋体" w:cs="宋体"/>
                <w:i w:val="0"/>
                <w:color w:val="000000"/>
                <w:kern w:val="0"/>
                <w:sz w:val="20"/>
                <w:szCs w:val="20"/>
                <w:u w:val="none"/>
                <w:lang w:val="en-US" w:eastAsia="zh-CN" w:bidi="ar"/>
              </w:rPr>
              <w:t>安全生产监管平台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3F1FAC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3085E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9E2FCF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29</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1BC34E9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广州久邦世纪科技有限公司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6FD40C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+影像生成及处理平台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1E8943B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越秀区</w:t>
            </w:r>
          </w:p>
        </w:tc>
      </w:tr>
      <w:tr w14:paraId="6220A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6C0FAF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30</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7DA2A06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广州华见智能科技有限公司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14D3B19">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智能中医体质辨识设备</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2FABDA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5E697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8BD196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31</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784DBE9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广州市易鸿智能装备股份有限公司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3F6574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动力锂电池生产全工序视觉检测关键技术</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EB3C11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番禺区</w:t>
            </w:r>
          </w:p>
        </w:tc>
      </w:tr>
      <w:tr w14:paraId="05CB4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6E6237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32</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322F98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广东健齿生物科技有限公司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6EB0ED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人工智能医疗助手服务</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365B04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1DE9E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780A39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33</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22A93D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广州睿帆科技有限公司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B095BE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地铁数据中台解决方案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27EC8C3">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2547E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0E0B5E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34</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A2AC60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广州新科佳都科技有限公司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4F0CCA32">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智能运维解决方案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91EAC5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47C38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E84DD8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35</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4594B9C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赛维森（广州）医疗科技服务有限公司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80C5DB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智慧病理管理系统</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4C0BD8B">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海珠区</w:t>
            </w:r>
          </w:p>
        </w:tc>
      </w:tr>
      <w:tr w14:paraId="63B79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46D4C46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36</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7B43D4F">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广州中长康达信息技术有限公司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F6BF2C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天元智法智能辅助平台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13BFF06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5F7E4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306153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37</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7E5CE52">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广州广电运通信息科技有限公司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5467B9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数联指挥平台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5DF663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1D3CA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7D6B72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38</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69E140D">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广州诺顶智能科技有限公司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7A463C6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被动元器件检测一站式解决方案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79A02B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番禺区</w:t>
            </w:r>
          </w:p>
        </w:tc>
      </w:tr>
      <w:tr w14:paraId="64971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205036C">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39</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4AAF5E7">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中运科技股份有限公司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15BF69B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新一代智慧客运信息系统</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06A9E4C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06D57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DEE63A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40</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E94BF89">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图腾视界（广州）数字科技有限公司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1AC3B651">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AI</w:t>
            </w:r>
            <w:r>
              <w:rPr>
                <w:rFonts w:hint="eastAsia" w:ascii="宋体" w:hAnsi="宋体" w:eastAsia="宋体" w:cs="宋体"/>
                <w:i w:val="0"/>
                <w:color w:val="000000"/>
                <w:kern w:val="0"/>
                <w:sz w:val="20"/>
                <w:szCs w:val="20"/>
                <w:u w:val="none"/>
                <w:lang w:val="en-US" w:eastAsia="zh-CN" w:bidi="ar"/>
              </w:rPr>
              <w:t>虚拟人主播</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04ACF98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白云区</w:t>
            </w:r>
          </w:p>
        </w:tc>
      </w:tr>
      <w:tr w14:paraId="2F7F3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B430BA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41</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7E6B3EAE">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广东泰迪智能科技股份有限公司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00799DD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ModelEasy</w:t>
            </w:r>
            <w:r>
              <w:rPr>
                <w:rFonts w:hint="eastAsia" w:ascii="宋体" w:hAnsi="宋体" w:eastAsia="宋体" w:cs="宋体"/>
                <w:i w:val="0"/>
                <w:color w:val="000000"/>
                <w:kern w:val="0"/>
                <w:sz w:val="20"/>
                <w:szCs w:val="20"/>
                <w:u w:val="none"/>
                <w:lang w:val="en-US" w:eastAsia="zh-CN" w:bidi="ar"/>
              </w:rPr>
              <w:t>（模型易）建模分析综合服务平台</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1BFD9C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1223C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F1D9EC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42</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C815D7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广州欢聚马克网络信息有限公司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6CB3FE9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马克智慧服务系统</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22D78E9D">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番禺区</w:t>
            </w:r>
          </w:p>
        </w:tc>
      </w:tr>
      <w:tr w14:paraId="4749A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F0F932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43</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1801874E">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广州市云景信息科技有限公司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321F4AF7">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新一代声环境监管解决方案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3851B06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5A928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9CDB305">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44</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5408A6D0">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广东星舆科技有限公司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523C4D0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道路资产数字化及自动巡检联合解决方案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FC03F6F">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黄埔区</w:t>
            </w:r>
          </w:p>
        </w:tc>
      </w:tr>
      <w:tr w14:paraId="1B11F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A9514EA">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45</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3E820A27">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广州市华科尔科技股份有限公司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62FA1CA3">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机车联动</w:t>
            </w:r>
            <w:r>
              <w:rPr>
                <w:rFonts w:hint="eastAsia" w:ascii="Times New Roman" w:hAnsi="Times New Roman" w:eastAsia="宋体" w:cs="宋体"/>
                <w:i w:val="0"/>
                <w:color w:val="000000"/>
                <w:kern w:val="0"/>
                <w:sz w:val="20"/>
                <w:szCs w:val="20"/>
                <w:u w:val="none"/>
                <w:lang w:val="en-US" w:eastAsia="zh-CN" w:bidi="ar"/>
              </w:rPr>
              <w:t>WK</w:t>
            </w:r>
            <w:r>
              <w:rPr>
                <w:rFonts w:hint="eastAsia" w:ascii="宋体" w:hAnsi="宋体" w:eastAsia="宋体" w:cs="宋体"/>
                <w:i w:val="0"/>
                <w:color w:val="000000"/>
                <w:kern w:val="0"/>
                <w:sz w:val="20"/>
                <w:szCs w:val="20"/>
                <w:u w:val="none"/>
                <w:lang w:val="en-US" w:eastAsia="zh-CN" w:bidi="ar"/>
              </w:rPr>
              <w:t>-</w:t>
            </w:r>
            <w:r>
              <w:rPr>
                <w:rFonts w:hint="eastAsia" w:ascii="Times New Roman" w:hAnsi="Times New Roman" w:eastAsia="宋体" w:cs="宋体"/>
                <w:i w:val="0"/>
                <w:color w:val="000000"/>
                <w:kern w:val="0"/>
                <w:sz w:val="20"/>
                <w:szCs w:val="20"/>
                <w:u w:val="none"/>
                <w:lang w:val="en-US" w:eastAsia="zh-CN" w:bidi="ar"/>
              </w:rPr>
              <w:t>1900</w:t>
            </w:r>
            <w:r>
              <w:rPr>
                <w:rFonts w:hint="eastAsia" w:ascii="宋体" w:hAnsi="宋体" w:eastAsia="宋体" w:cs="宋体"/>
                <w:i w:val="0"/>
                <w:color w:val="000000"/>
                <w:kern w:val="0"/>
                <w:sz w:val="20"/>
                <w:szCs w:val="20"/>
                <w:u w:val="none"/>
                <w:lang w:val="en-US" w:eastAsia="zh-CN" w:bidi="ar"/>
              </w:rPr>
              <w:t xml:space="preserve"> </w:t>
            </w:r>
            <w:r>
              <w:rPr>
                <w:rFonts w:hint="eastAsia" w:ascii="Times New Roman" w:hAnsi="Times New Roman" w:eastAsia="宋体" w:cs="宋体"/>
                <w:i w:val="0"/>
                <w:color w:val="000000"/>
                <w:kern w:val="0"/>
                <w:sz w:val="20"/>
                <w:szCs w:val="20"/>
                <w:u w:val="none"/>
                <w:lang w:val="en-US" w:eastAsia="zh-CN" w:bidi="ar"/>
              </w:rPr>
              <w:t>PRO</w:t>
            </w:r>
            <w:r>
              <w:rPr>
                <w:rFonts w:hint="eastAsia" w:ascii="宋体" w:hAnsi="宋体" w:eastAsia="宋体" w:cs="宋体"/>
                <w:i w:val="0"/>
                <w:color w:val="000000"/>
                <w:kern w:val="0"/>
                <w:sz w:val="20"/>
                <w:szCs w:val="20"/>
                <w:u w:val="none"/>
                <w:lang w:val="en-US" w:eastAsia="zh-CN" w:bidi="ar"/>
              </w:rPr>
              <w:t>无人机消防车方案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40BF24E4">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南沙区</w:t>
            </w:r>
          </w:p>
        </w:tc>
      </w:tr>
      <w:tr w14:paraId="71B75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21760E6">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46</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1A9178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广州伟宏智能科技有限公司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1AAB513E">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智能电表运行误差及状态评价</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624215CE">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00B26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EB51357">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47</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0A3E8C56">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广州机智云物联网科技有限公司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21ADEFA5">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机智云基于</w:t>
            </w:r>
            <w:r>
              <w:rPr>
                <w:rFonts w:hint="eastAsia" w:ascii="Times New Roman" w:hAnsi="Times New Roman" w:eastAsia="宋体" w:cs="宋体"/>
                <w:i w:val="0"/>
                <w:color w:val="000000"/>
                <w:kern w:val="0"/>
                <w:sz w:val="20"/>
                <w:szCs w:val="20"/>
                <w:u w:val="none"/>
                <w:lang w:val="en-US" w:eastAsia="zh-CN" w:bidi="ar"/>
              </w:rPr>
              <w:t>AIoT</w:t>
            </w:r>
            <w:r>
              <w:rPr>
                <w:rFonts w:hint="eastAsia" w:ascii="宋体" w:hAnsi="宋体" w:eastAsia="宋体" w:cs="宋体"/>
                <w:i w:val="0"/>
                <w:color w:val="000000"/>
                <w:kern w:val="0"/>
                <w:sz w:val="20"/>
                <w:szCs w:val="20"/>
                <w:u w:val="none"/>
                <w:lang w:val="en-US" w:eastAsia="zh-CN" w:bidi="ar"/>
              </w:rPr>
              <w:t>的工业质检解决方案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1951E5A8">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01052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A6BB16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48</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6C093E3A">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广州思迈特软件有限公司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5B7DC494">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数据智能驱动中小企业经营决策</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08C7BF52">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r w14:paraId="5AE4E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896C190">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Times New Roman" w:hAnsi="Times New Roman" w:eastAsia="宋体" w:cs="宋体"/>
                <w:i w:val="0"/>
                <w:color w:val="000000"/>
                <w:kern w:val="0"/>
                <w:sz w:val="20"/>
                <w:szCs w:val="20"/>
                <w:u w:val="none"/>
                <w:lang w:val="en-US" w:eastAsia="zh-CN" w:bidi="ar"/>
              </w:rPr>
              <w:t>49</w:t>
            </w:r>
          </w:p>
        </w:tc>
        <w:tc>
          <w:tcPr>
            <w:tcW w:w="2139" w:type="dxa"/>
            <w:tcBorders>
              <w:top w:val="single" w:color="000000" w:sz="4" w:space="0"/>
              <w:left w:val="single" w:color="000000" w:sz="4" w:space="0"/>
              <w:bottom w:val="single" w:color="000000" w:sz="4" w:space="0"/>
              <w:right w:val="single" w:color="000000" w:sz="4" w:space="0"/>
            </w:tcBorders>
            <w:noWrap w:val="0"/>
            <w:vAlign w:val="center"/>
          </w:tcPr>
          <w:p w14:paraId="70F22138">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广州国交润万交通信息有限公司</w:t>
            </w:r>
          </w:p>
        </w:tc>
        <w:tc>
          <w:tcPr>
            <w:tcW w:w="4110" w:type="dxa"/>
            <w:tcBorders>
              <w:top w:val="single" w:color="000000" w:sz="4" w:space="0"/>
              <w:left w:val="single" w:color="000000" w:sz="4" w:space="0"/>
              <w:bottom w:val="single" w:color="000000" w:sz="4" w:space="0"/>
              <w:right w:val="single" w:color="000000" w:sz="4" w:space="0"/>
            </w:tcBorders>
            <w:noWrap w:val="0"/>
            <w:vAlign w:val="center"/>
          </w:tcPr>
          <w:p w14:paraId="1723E97B">
            <w:pPr>
              <w:keepNext w:val="0"/>
              <w:keepLines w:val="0"/>
              <w:pageBreakBefore w:val="0"/>
              <w:widowControl w:val="0"/>
              <w:suppressLineNumbers w:val="0"/>
              <w:kinsoku/>
              <w:wordWrap/>
              <w:overflowPunct/>
              <w:topLinePunct w:val="0"/>
              <w:autoSpaceDE/>
              <w:autoSpaceDN/>
              <w:bidi w:val="0"/>
              <w:adjustRightInd/>
              <w:snapToGrid/>
              <w:spacing w:line="240" w:lineRule="auto"/>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基于低照度环境下的视频事件识别系统建设方案</w:t>
            </w:r>
          </w:p>
        </w:tc>
        <w:tc>
          <w:tcPr>
            <w:tcW w:w="1479" w:type="dxa"/>
            <w:tcBorders>
              <w:top w:val="single" w:color="000000" w:sz="4" w:space="0"/>
              <w:left w:val="single" w:color="000000" w:sz="4" w:space="0"/>
              <w:bottom w:val="single" w:color="000000" w:sz="4" w:space="0"/>
              <w:right w:val="single" w:color="000000" w:sz="4" w:space="0"/>
            </w:tcBorders>
            <w:noWrap w:val="0"/>
            <w:vAlign w:val="center"/>
          </w:tcPr>
          <w:p w14:paraId="718340E9">
            <w:pPr>
              <w:keepNext w:val="0"/>
              <w:keepLines w:val="0"/>
              <w:pageBreakBefore w:val="0"/>
              <w:widowControl w:val="0"/>
              <w:suppressLineNumbers w:val="0"/>
              <w:kinsoku/>
              <w:wordWrap/>
              <w:overflowPunct/>
              <w:topLinePunct w:val="0"/>
              <w:autoSpaceDE/>
              <w:autoSpaceDN/>
              <w:bidi w:val="0"/>
              <w:adjustRightInd/>
              <w:snapToGrid/>
              <w:spacing w:line="240" w:lineRule="auto"/>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天河区</w:t>
            </w:r>
          </w:p>
        </w:tc>
      </w:tr>
    </w:tbl>
    <w:p w14:paraId="63EAC4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sz w:val="21"/>
          <w:szCs w:val="24"/>
          <w:lang w:val="en-US" w:eastAsia="zh-CN"/>
        </w:rPr>
      </w:pPr>
      <w:r>
        <w:rPr>
          <w:rFonts w:hint="eastAsia" w:ascii="仿宋_GB2312" w:hAnsi="仿宋_GB2312" w:eastAsia="仿宋_GB2312" w:cs="仿宋_GB2312"/>
          <w:sz w:val="21"/>
          <w:szCs w:val="24"/>
          <w:lang w:val="en-US" w:eastAsia="zh-CN"/>
        </w:rPr>
        <w:t>注：排名不分先后</w:t>
      </w:r>
    </w:p>
    <w:p w14:paraId="1A34926A">
      <w:pPr>
        <w:keepNext w:val="0"/>
        <w:keepLines w:val="0"/>
        <w:pageBreakBefore w:val="0"/>
        <w:widowControl w:val="0"/>
        <w:kinsoku/>
        <w:wordWrap/>
        <w:overflowPunct/>
        <w:topLinePunct w:val="0"/>
        <w:autoSpaceDE/>
        <w:autoSpaceDN/>
        <w:bidi w:val="0"/>
        <w:adjustRightInd/>
        <w:snapToGrid/>
        <w:spacing w:line="240" w:lineRule="auto"/>
        <w:jc w:val="left"/>
        <w:rPr>
          <w:rFonts w:hint="default"/>
          <w:lang w:val="en-US" w:eastAsia="zh-CN"/>
        </w:rPr>
        <w:sectPr>
          <w:pgSz w:w="11906" w:h="16838"/>
          <w:pgMar w:top="1587" w:right="1474" w:bottom="1587" w:left="1531" w:header="851" w:footer="1417" w:gutter="0"/>
          <w:cols w:space="720" w:num="1"/>
          <w:titlePg/>
          <w:rtlGutter w:val="0"/>
          <w:docGrid w:type="lines" w:linePitch="312" w:charSpace="0"/>
        </w:sectPr>
      </w:pPr>
    </w:p>
    <w:p w14:paraId="5475FD32"/>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94A23">
    <w:pPr>
      <w:pStyle w:val="3"/>
      <w:framePr w:w="1442" w:wrap="around" w:vAnchor="text" w:hAnchor="margin" w:xAlign="outside" w:y="1"/>
      <w:ind w:firstLine="140" w:firstLineChars="50"/>
      <w:rPr>
        <w:rStyle w:val="7"/>
        <w:rFonts w:hint="eastAsia"/>
        <w:sz w:val="28"/>
        <w:szCs w:val="28"/>
      </w:rPr>
    </w:pPr>
    <w:r>
      <w:rPr>
        <w:rStyle w:val="7"/>
        <w:rFonts w:hint="eastAsia"/>
        <w:sz w:val="28"/>
        <w:szCs w:val="28"/>
      </w:rPr>
      <w:t xml:space="preserve">— </w:t>
    </w:r>
    <w:r>
      <w:rPr>
        <w:rStyle w:val="7"/>
        <w:sz w:val="28"/>
        <w:szCs w:val="28"/>
      </w:rPr>
      <w:fldChar w:fldCharType="begin"/>
    </w:r>
    <w:r>
      <w:rPr>
        <w:rStyle w:val="7"/>
        <w:sz w:val="28"/>
        <w:szCs w:val="28"/>
      </w:rPr>
      <w:instrText xml:space="preserve">PAGE  </w:instrText>
    </w:r>
    <w:r>
      <w:rPr>
        <w:rStyle w:val="7"/>
        <w:sz w:val="28"/>
        <w:szCs w:val="28"/>
      </w:rPr>
      <w:fldChar w:fldCharType="separate"/>
    </w:r>
    <w:r>
      <w:rPr>
        <w:rStyle w:val="7"/>
        <w:sz w:val="28"/>
        <w:szCs w:val="28"/>
      </w:rPr>
      <w:t>3</w:t>
    </w:r>
    <w:r>
      <w:rPr>
        <w:rStyle w:val="7"/>
        <w:sz w:val="28"/>
        <w:szCs w:val="28"/>
      </w:rPr>
      <w:fldChar w:fldCharType="end"/>
    </w:r>
    <w:r>
      <w:rPr>
        <w:rStyle w:val="7"/>
        <w:rFonts w:hint="eastAsia"/>
        <w:sz w:val="28"/>
        <w:szCs w:val="28"/>
      </w:rPr>
      <w:t xml:space="preserve"> —</w:t>
    </w:r>
  </w:p>
  <w:p w14:paraId="2B0618F6">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2C95B8">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4MWI5M2NjNjc2NDM4NTE0ZmYzNWIwOTc5MGQ3MzEifQ=="/>
  </w:docVars>
  <w:rsids>
    <w:rsidRoot w:val="3A7B2039"/>
    <w:rsid w:val="0CBB296F"/>
    <w:rsid w:val="3A7B2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6"/>
    <w:basedOn w:val="1"/>
    <w:next w:val="1"/>
    <w:unhideWhenUsed/>
    <w:qFormat/>
    <w:uiPriority w:val="9"/>
    <w:pPr>
      <w:keepNext/>
      <w:keepLines/>
      <w:suppressAutoHyphens/>
      <w:bidi w:val="0"/>
      <w:spacing w:before="240" w:after="64" w:line="320" w:lineRule="auto"/>
      <w:outlineLvl w:val="5"/>
    </w:pPr>
    <w:rPr>
      <w:rFonts w:ascii="Cambria" w:hAnsi="Cambria" w:eastAsia="宋体" w:cs="Times New Roman"/>
      <w:b/>
      <w:bCs/>
      <w:color w:val="auto"/>
      <w:sz w:val="24"/>
      <w:szCs w:val="2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 w:type="paragraph" w:customStyle="1" w:styleId="8">
    <w:name w:val="Char"/>
    <w:basedOn w:val="1"/>
    <w:qFormat/>
    <w:uiPriority w:val="0"/>
    <w:pPr>
      <w:tabs>
        <w:tab w:val="left" w:pos="425"/>
      </w:tabs>
      <w:ind w:left="425" w:hanging="425"/>
    </w:pPr>
    <w:rPr>
      <w:rFonts w:eastAsia="仿宋_GB2312"/>
      <w:kern w:val="24"/>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2024-09-30T09:04:00Z</dcterms:created>
  <dc:creator>lxl</dc:creator>
  <cp:lastModifiedBy>lxl</cp:lastModifiedBy>
  <dcterms:modified xsi:type="dcterms:W3CDTF">2024-09-30T09:06:19Z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66BBB2C56AF6476685B1D70CB8424E3D_13</vt:lpwstr>
  </property>
</Properties>
</file>